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A2" w:rsidRPr="004A0AA2" w:rsidRDefault="004A0AA2" w:rsidP="004A0AA2">
      <w:pPr>
        <w:jc w:val="center"/>
        <w:rPr>
          <w:rFonts w:ascii="宋体" w:eastAsia="宋体" w:hAnsi="宋体" w:cs="Calibri"/>
          <w:b/>
          <w:sz w:val="36"/>
          <w:szCs w:val="28"/>
        </w:rPr>
      </w:pPr>
      <w:r w:rsidRPr="004A0AA2">
        <w:rPr>
          <w:rFonts w:ascii="宋体" w:eastAsia="宋体" w:hAnsi="宋体" w:cs="Calibri" w:hint="eastAsia"/>
          <w:b/>
          <w:sz w:val="36"/>
          <w:szCs w:val="28"/>
        </w:rPr>
        <w:t>嘉善农商行理财产品客户权益须知</w:t>
      </w:r>
    </w:p>
    <w:p w:rsidR="004A0AA2" w:rsidRPr="004A0AA2" w:rsidRDefault="004A0AA2" w:rsidP="004A0AA2">
      <w:pPr>
        <w:jc w:val="center"/>
        <w:rPr>
          <w:rFonts w:ascii="宋体" w:eastAsia="宋体" w:hAnsi="宋体" w:cs="Calibri"/>
          <w:szCs w:val="21"/>
        </w:rPr>
      </w:pPr>
    </w:p>
    <w:p w:rsidR="004A0AA2" w:rsidRPr="004A0AA2" w:rsidRDefault="004A0AA2" w:rsidP="004A0AA2">
      <w:pPr>
        <w:rPr>
          <w:rFonts w:ascii="宋体" w:eastAsia="宋体" w:hAnsi="宋体" w:cs="Calibri"/>
          <w:b/>
          <w:szCs w:val="21"/>
        </w:rPr>
      </w:pPr>
      <w:r w:rsidRPr="004A0AA2">
        <w:rPr>
          <w:rFonts w:ascii="宋体" w:eastAsia="宋体" w:hAnsi="宋体" w:cs="Calibri" w:hint="eastAsia"/>
          <w:b/>
          <w:szCs w:val="21"/>
        </w:rPr>
        <w:t>尊敬的客户：</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4A0AA2" w:rsidRPr="004A0AA2" w:rsidRDefault="004A0AA2" w:rsidP="004A0AA2">
      <w:pPr>
        <w:spacing w:line="400" w:lineRule="exact"/>
        <w:ind w:left="420"/>
        <w:rPr>
          <w:rFonts w:ascii="宋体" w:eastAsia="宋体" w:hAnsi="宋体" w:cs="Calibri"/>
          <w:szCs w:val="21"/>
        </w:rPr>
      </w:pPr>
      <w:r w:rsidRPr="004A0AA2">
        <w:rPr>
          <w:rFonts w:ascii="宋体" w:eastAsia="宋体" w:hAnsi="宋体" w:cs="Calibri" w:hint="eastAsia"/>
          <w:szCs w:val="21"/>
        </w:rPr>
        <w:t>（一）理财产品办理流程</w:t>
      </w:r>
    </w:p>
    <w:p w:rsidR="004A0AA2" w:rsidRPr="004A0AA2" w:rsidRDefault="004A0AA2" w:rsidP="004A0AA2">
      <w:pPr>
        <w:spacing w:line="400" w:lineRule="exact"/>
        <w:ind w:left="360"/>
        <w:rPr>
          <w:rFonts w:ascii="宋体" w:eastAsia="宋体" w:hAnsi="宋体" w:cs="Calibri"/>
          <w:szCs w:val="21"/>
        </w:rPr>
      </w:pPr>
      <w:r w:rsidRPr="004A0AA2">
        <w:rPr>
          <w:rFonts w:ascii="宋体" w:eastAsia="宋体" w:hAnsi="宋体" w:cs="Calibri" w:hint="eastAsia"/>
          <w:szCs w:val="21"/>
        </w:rPr>
        <w:t>1.认购流程</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我行理财产品可通过营业柜台、自助终端、网上银行、</w:t>
      </w:r>
      <w:r w:rsidR="003A00A3">
        <w:rPr>
          <w:rFonts w:ascii="宋体" w:eastAsia="宋体" w:hAnsi="宋体" w:cs="Calibri" w:hint="eastAsia"/>
          <w:szCs w:val="21"/>
        </w:rPr>
        <w:t>丰收互联</w:t>
      </w:r>
      <w:r w:rsidRPr="004A0AA2">
        <w:rPr>
          <w:rFonts w:ascii="宋体" w:eastAsia="宋体" w:hAnsi="宋体" w:cs="Calibri" w:hint="eastAsia"/>
          <w:szCs w:val="21"/>
        </w:rPr>
        <w:t>等</w:t>
      </w:r>
      <w:bookmarkStart w:id="0" w:name="_GoBack"/>
      <w:bookmarkEnd w:id="0"/>
      <w:r w:rsidRPr="004A0AA2">
        <w:rPr>
          <w:rFonts w:ascii="宋体" w:eastAsia="宋体" w:hAnsi="宋体" w:cs="Calibri" w:hint="eastAsia"/>
          <w:szCs w:val="21"/>
        </w:rPr>
        <w:t>方式进行认购，其中认购主流程如下：</w:t>
      </w:r>
    </w:p>
    <w:p w:rsidR="004A0AA2" w:rsidRPr="004A0AA2" w:rsidRDefault="004A0AA2" w:rsidP="004A0AA2">
      <w:pPr>
        <w:ind w:left="420"/>
        <w:rPr>
          <w:rFonts w:ascii="宋体" w:eastAsia="宋体" w:hAnsi="宋体" w:cs="Calibri"/>
          <w:szCs w:val="21"/>
        </w:rPr>
      </w:pPr>
    </w:p>
    <w:p w:rsidR="004A0AA2" w:rsidRPr="004A0AA2" w:rsidRDefault="004A0AA2" w:rsidP="004A0AA2">
      <w:pPr>
        <w:rPr>
          <w:rFonts w:ascii="宋体" w:eastAsia="宋体" w:hAnsi="宋体" w:cs="Calibri"/>
          <w:szCs w:val="21"/>
        </w:rPr>
      </w:pPr>
      <w:r w:rsidRPr="004A0AA2">
        <w:rPr>
          <w:rFonts w:ascii="宋体" w:eastAsia="宋体" w:hAnsi="宋体" w:cs="Calibri"/>
          <w:noProof/>
          <w:szCs w:val="21"/>
        </w:rPr>
        <mc:AlternateContent>
          <mc:Choice Requires="wps">
            <w:drawing>
              <wp:anchor distT="0" distB="0" distL="114300" distR="114300" simplePos="0" relativeHeight="251668480" behindDoc="0" locked="0" layoutInCell="1" allowOverlap="1" wp14:anchorId="3056DBCD" wp14:editId="0F3B0A16">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4A0AA2" w:rsidRPr="00D62068" w:rsidRDefault="004A0AA2" w:rsidP="004A0AA2">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4A0AA2" w:rsidRPr="00363D9F" w:rsidRDefault="004A0AA2" w:rsidP="004A0AA2">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4A0AA2" w:rsidRPr="00D62068" w:rsidRDefault="004A0AA2" w:rsidP="004A0AA2">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4A0AA2" w:rsidRPr="00363D9F" w:rsidRDefault="004A0AA2" w:rsidP="004A0AA2">
                      <w:pPr>
                        <w:jc w:val="center"/>
                        <w:rPr>
                          <w:sz w:val="18"/>
                          <w:szCs w:val="18"/>
                        </w:rPr>
                      </w:pPr>
                    </w:p>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67456" behindDoc="0" locked="0" layoutInCell="1" allowOverlap="1" wp14:anchorId="66FEB3D3" wp14:editId="54458A94">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4A0AA2" w:rsidRPr="00DE746F" w:rsidRDefault="004A0AA2" w:rsidP="004A0AA2">
                            <w:r w:rsidRPr="00DE746F">
                              <w:rPr>
                                <w:rFonts w:hint="eastAsia"/>
                              </w:rPr>
                              <w:t>阅读风险揭示书</w:t>
                            </w:r>
                          </w:p>
                          <w:p w:rsidR="004A0AA2" w:rsidRPr="00DE746F" w:rsidRDefault="004A0AA2" w:rsidP="004A0AA2">
                            <w:pPr>
                              <w:jc w:val="center"/>
                            </w:pPr>
                            <w:r w:rsidRPr="00DE746F">
                              <w:rPr>
                                <w:rFonts w:hint="eastAsia"/>
                              </w:rPr>
                              <w:t>抄录风险知晓语句</w:t>
                            </w:r>
                          </w:p>
                          <w:p w:rsidR="004A0AA2" w:rsidRPr="00363D9F" w:rsidRDefault="004A0AA2" w:rsidP="004A0AA2">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4A0AA2" w:rsidRPr="00DE746F" w:rsidRDefault="004A0AA2" w:rsidP="004A0AA2">
                      <w:r w:rsidRPr="00DE746F">
                        <w:rPr>
                          <w:rFonts w:hint="eastAsia"/>
                        </w:rPr>
                        <w:t>阅读风险揭示书</w:t>
                      </w:r>
                    </w:p>
                    <w:p w:rsidR="004A0AA2" w:rsidRPr="00DE746F" w:rsidRDefault="004A0AA2" w:rsidP="004A0AA2">
                      <w:pPr>
                        <w:jc w:val="center"/>
                      </w:pPr>
                      <w:r w:rsidRPr="00DE746F">
                        <w:rPr>
                          <w:rFonts w:hint="eastAsia"/>
                        </w:rPr>
                        <w:t>抄录风险知晓语句</w:t>
                      </w:r>
                    </w:p>
                    <w:p w:rsidR="004A0AA2" w:rsidRPr="00363D9F" w:rsidRDefault="004A0AA2" w:rsidP="004A0AA2">
                      <w:pPr>
                        <w:ind w:firstLineChars="150" w:firstLine="315"/>
                        <w:rPr>
                          <w:color w:val="FF0000"/>
                        </w:rPr>
                      </w:pPr>
                    </w:p>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66432" behindDoc="0" locked="0" layoutInCell="1" allowOverlap="1" wp14:anchorId="0AE2434F" wp14:editId="253CE4A0">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4A0AA2" w:rsidRDefault="004A0AA2" w:rsidP="004A0AA2">
                            <w:pPr>
                              <w:jc w:val="center"/>
                            </w:pPr>
                            <w:r w:rsidRPr="00DE746F">
                              <w:rPr>
                                <w:rFonts w:hint="eastAsia"/>
                              </w:rPr>
                              <w:t>风险</w:t>
                            </w:r>
                          </w:p>
                          <w:p w:rsidR="004A0AA2" w:rsidRPr="00DE746F" w:rsidRDefault="004A0AA2" w:rsidP="004A0AA2">
                            <w:pPr>
                              <w:jc w:val="center"/>
                            </w:pPr>
                            <w:r w:rsidRPr="00DE746F">
                              <w:rPr>
                                <w:rFonts w:hint="eastAsia"/>
                              </w:rPr>
                              <w:t>测评</w:t>
                            </w:r>
                          </w:p>
                          <w:p w:rsidR="004A0AA2" w:rsidRPr="00363D9F" w:rsidRDefault="004A0AA2" w:rsidP="004A0AA2"/>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4A0AA2" w:rsidRDefault="004A0AA2" w:rsidP="004A0AA2">
                      <w:pPr>
                        <w:jc w:val="center"/>
                      </w:pPr>
                      <w:r w:rsidRPr="00DE746F">
                        <w:rPr>
                          <w:rFonts w:hint="eastAsia"/>
                        </w:rPr>
                        <w:t>风险</w:t>
                      </w:r>
                    </w:p>
                    <w:p w:rsidR="004A0AA2" w:rsidRPr="00DE746F" w:rsidRDefault="004A0AA2" w:rsidP="004A0AA2">
                      <w:pPr>
                        <w:jc w:val="center"/>
                      </w:pPr>
                      <w:r w:rsidRPr="00DE746F">
                        <w:rPr>
                          <w:rFonts w:hint="eastAsia"/>
                        </w:rPr>
                        <w:t>测评</w:t>
                      </w:r>
                    </w:p>
                    <w:p w:rsidR="004A0AA2" w:rsidRPr="00363D9F" w:rsidRDefault="004A0AA2" w:rsidP="004A0AA2"/>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65408" behindDoc="0" locked="0" layoutInCell="1" allowOverlap="1" wp14:anchorId="2C1B8712" wp14:editId="3719992D">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4A0AA2" w:rsidRPr="00363D9F" w:rsidRDefault="004A0AA2" w:rsidP="004A0AA2">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4A0AA2" w:rsidRPr="00363D9F" w:rsidRDefault="004A0AA2" w:rsidP="004A0AA2">
                      <w:pPr>
                        <w:jc w:val="center"/>
                      </w:pPr>
                      <w:r>
                        <w:rPr>
                          <w:rFonts w:hint="eastAsia"/>
                        </w:rPr>
                        <w:t>开立</w:t>
                      </w:r>
                      <w:r w:rsidRPr="00363D9F">
                        <w:rPr>
                          <w:rFonts w:hint="eastAsia"/>
                        </w:rPr>
                        <w:t>活期结算账户</w:t>
                      </w:r>
                    </w:p>
                  </w:txbxContent>
                </v:textbox>
              </v:shape>
            </w:pict>
          </mc:Fallback>
        </mc:AlternateContent>
      </w:r>
    </w:p>
    <w:p w:rsidR="004A0AA2" w:rsidRPr="004A0AA2" w:rsidRDefault="004A0AA2" w:rsidP="004A0AA2">
      <w:pPr>
        <w:rPr>
          <w:rFonts w:ascii="宋体" w:eastAsia="宋体" w:hAnsi="宋体" w:cs="Calibri"/>
          <w:szCs w:val="21"/>
        </w:rPr>
      </w:pPr>
      <w:r w:rsidRPr="004A0AA2">
        <w:rPr>
          <w:rFonts w:ascii="宋体" w:eastAsia="宋体" w:hAnsi="宋体" w:cs="Calibri"/>
          <w:noProof/>
          <w:szCs w:val="21"/>
        </w:rPr>
        <mc:AlternateContent>
          <mc:Choice Requires="wps">
            <w:drawing>
              <wp:anchor distT="4294967294" distB="4294967294" distL="114300" distR="114300" simplePos="0" relativeHeight="251661312" behindDoc="0" locked="0" layoutInCell="1" allowOverlap="1" wp14:anchorId="6C1632CE" wp14:editId="2AA7F269">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sidRPr="004A0AA2">
        <w:rPr>
          <w:rFonts w:ascii="宋体" w:eastAsia="宋体" w:hAnsi="宋体" w:cs="Calibri"/>
          <w:noProof/>
          <w:szCs w:val="21"/>
        </w:rPr>
        <mc:AlternateContent>
          <mc:Choice Requires="wps">
            <w:drawing>
              <wp:anchor distT="4294967294" distB="4294967294" distL="114300" distR="114300" simplePos="0" relativeHeight="251660288" behindDoc="0" locked="0" layoutInCell="1" allowOverlap="1" wp14:anchorId="080B7D71" wp14:editId="3BD7FC9E">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sidRPr="004A0AA2">
        <w:rPr>
          <w:rFonts w:ascii="宋体" w:eastAsia="宋体" w:hAnsi="宋体" w:cs="Calibri"/>
          <w:noProof/>
          <w:szCs w:val="21"/>
        </w:rPr>
        <mc:AlternateContent>
          <mc:Choice Requires="wps">
            <w:drawing>
              <wp:anchor distT="4294967294" distB="4294967294" distL="114300" distR="114300" simplePos="0" relativeHeight="251659264" behindDoc="0" locked="0" layoutInCell="1" allowOverlap="1" wp14:anchorId="68030573" wp14:editId="56F4F4A0">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4A0AA2" w:rsidRPr="004A0AA2" w:rsidRDefault="004A0AA2" w:rsidP="004A0AA2">
      <w:pPr>
        <w:rPr>
          <w:rFonts w:ascii="宋体" w:eastAsia="宋体" w:hAnsi="宋体" w:cs="Calibri"/>
          <w:szCs w:val="21"/>
        </w:rPr>
      </w:pPr>
      <w:r w:rsidRPr="004A0AA2">
        <w:rPr>
          <w:rFonts w:ascii="宋体" w:eastAsia="宋体" w:hAnsi="宋体" w:cs="Calibri"/>
          <w:noProof/>
          <w:szCs w:val="21"/>
        </w:rPr>
        <mc:AlternateContent>
          <mc:Choice Requires="wps">
            <w:drawing>
              <wp:anchor distT="0" distB="0" distL="114298" distR="114298" simplePos="0" relativeHeight="251662336" behindDoc="0" locked="0" layoutInCell="1" allowOverlap="1" wp14:anchorId="0E5994E4" wp14:editId="1DB19E7C">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4A0AA2" w:rsidRPr="004A0AA2" w:rsidRDefault="004A0AA2" w:rsidP="004A0AA2">
      <w:pPr>
        <w:rPr>
          <w:rFonts w:ascii="宋体" w:eastAsia="宋体" w:hAnsi="宋体" w:cs="Calibri"/>
          <w:szCs w:val="21"/>
        </w:rPr>
      </w:pPr>
    </w:p>
    <w:p w:rsidR="004A0AA2" w:rsidRPr="004A0AA2" w:rsidRDefault="004A0AA2" w:rsidP="004A0AA2">
      <w:pPr>
        <w:rPr>
          <w:rFonts w:ascii="宋体" w:eastAsia="宋体" w:hAnsi="宋体" w:cs="Calibri"/>
          <w:szCs w:val="21"/>
        </w:rPr>
      </w:pPr>
      <w:r w:rsidRPr="004A0AA2">
        <w:rPr>
          <w:rFonts w:ascii="宋体" w:eastAsia="宋体" w:hAnsi="宋体" w:cs="Calibri"/>
          <w:noProof/>
          <w:szCs w:val="21"/>
        </w:rPr>
        <mc:AlternateContent>
          <mc:Choice Requires="wps">
            <w:drawing>
              <wp:anchor distT="0" distB="0" distL="114300" distR="114300" simplePos="0" relativeHeight="251672576" behindDoc="0" locked="0" layoutInCell="1" allowOverlap="1" wp14:anchorId="4219C29B" wp14:editId="714B79B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4A0AA2" w:rsidRDefault="004A0AA2" w:rsidP="004A0AA2">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4A0AA2" w:rsidRDefault="004A0AA2" w:rsidP="004A0AA2">
                      <w:pPr>
                        <w:jc w:val="center"/>
                      </w:pPr>
                      <w:r w:rsidRPr="00425D92">
                        <w:rPr>
                          <w:rFonts w:hint="eastAsia"/>
                          <w:color w:val="000000"/>
                        </w:rPr>
                        <w:t>完成产品认购</w:t>
                      </w:r>
                    </w:p>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70528" behindDoc="0" locked="0" layoutInCell="1" allowOverlap="1" wp14:anchorId="77885CC8" wp14:editId="455C4AA2">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4A0AA2" w:rsidRPr="00425D92" w:rsidRDefault="004A0AA2" w:rsidP="004A0AA2">
                            <w:pPr>
                              <w:jc w:val="center"/>
                              <w:rPr>
                                <w:color w:val="000000"/>
                              </w:rPr>
                            </w:pPr>
                            <w:r w:rsidRPr="00425D92">
                              <w:rPr>
                                <w:rFonts w:hint="eastAsia"/>
                                <w:color w:val="000000"/>
                              </w:rPr>
                              <w:t>签署产品协议书或</w:t>
                            </w:r>
                          </w:p>
                          <w:p w:rsidR="004A0AA2" w:rsidRDefault="004A0AA2" w:rsidP="004A0AA2">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4A0AA2" w:rsidRPr="00425D92" w:rsidRDefault="004A0AA2" w:rsidP="004A0AA2">
                      <w:pPr>
                        <w:jc w:val="center"/>
                        <w:rPr>
                          <w:color w:val="000000"/>
                        </w:rPr>
                      </w:pPr>
                      <w:r w:rsidRPr="00425D92">
                        <w:rPr>
                          <w:rFonts w:hint="eastAsia"/>
                          <w:color w:val="000000"/>
                        </w:rPr>
                        <w:t>签署产品协议书或</w:t>
                      </w:r>
                    </w:p>
                    <w:p w:rsidR="004A0AA2" w:rsidRDefault="004A0AA2" w:rsidP="004A0AA2">
                      <w:pPr>
                        <w:jc w:val="center"/>
                      </w:pPr>
                      <w:r w:rsidRPr="00425D92">
                        <w:rPr>
                          <w:rFonts w:hint="eastAsia"/>
                          <w:color w:val="000000"/>
                        </w:rPr>
                        <w:t>委托类申请凭证</w:t>
                      </w:r>
                    </w:p>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69504" behindDoc="0" locked="0" layoutInCell="1" allowOverlap="1" wp14:anchorId="00A80AF0" wp14:editId="49B843BF">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4A0AA2" w:rsidRDefault="004A0AA2" w:rsidP="004A0AA2">
                            <w:pPr>
                              <w:jc w:val="center"/>
                            </w:pPr>
                            <w:r>
                              <w:rPr>
                                <w:rFonts w:hint="eastAsia"/>
                              </w:rPr>
                              <w:t>使用结算账户</w:t>
                            </w:r>
                          </w:p>
                          <w:p w:rsidR="004A0AA2" w:rsidRDefault="004A0AA2" w:rsidP="004A0AA2">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4A0AA2" w:rsidRDefault="004A0AA2" w:rsidP="004A0AA2">
                      <w:pPr>
                        <w:jc w:val="center"/>
                      </w:pPr>
                      <w:r>
                        <w:rPr>
                          <w:rFonts w:hint="eastAsia"/>
                        </w:rPr>
                        <w:t>使用结算账户</w:t>
                      </w:r>
                    </w:p>
                    <w:p w:rsidR="004A0AA2" w:rsidRDefault="004A0AA2" w:rsidP="004A0AA2">
                      <w:pPr>
                        <w:jc w:val="center"/>
                      </w:pPr>
                      <w:r>
                        <w:rPr>
                          <w:rFonts w:hint="eastAsia"/>
                        </w:rPr>
                        <w:t>划付资金</w:t>
                      </w:r>
                    </w:p>
                  </w:txbxContent>
                </v:textbox>
              </v:shape>
            </w:pict>
          </mc:Fallback>
        </mc:AlternateContent>
      </w:r>
      <w:r w:rsidRPr="004A0AA2">
        <w:rPr>
          <w:rFonts w:ascii="宋体" w:eastAsia="宋体" w:hAnsi="宋体" w:cs="Calibri"/>
          <w:noProof/>
          <w:szCs w:val="21"/>
        </w:rPr>
        <mc:AlternateContent>
          <mc:Choice Requires="wps">
            <w:drawing>
              <wp:anchor distT="0" distB="0" distL="114300" distR="114300" simplePos="0" relativeHeight="251671552" behindDoc="0" locked="0" layoutInCell="1" allowOverlap="1" wp14:anchorId="3D0BD6D2" wp14:editId="0A3D12D4">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4A0AA2" w:rsidRPr="00425D92" w:rsidRDefault="004A0AA2" w:rsidP="004A0AA2">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4A0AA2" w:rsidRPr="00425D92" w:rsidRDefault="004A0AA2" w:rsidP="004A0AA2">
                      <w:pPr>
                        <w:jc w:val="center"/>
                        <w:rPr>
                          <w:color w:val="000000"/>
                        </w:rPr>
                      </w:pPr>
                      <w:r w:rsidRPr="00425D92">
                        <w:rPr>
                          <w:rFonts w:hint="eastAsia"/>
                          <w:color w:val="000000"/>
                        </w:rPr>
                        <w:t>发起认购申请</w:t>
                      </w:r>
                    </w:p>
                  </w:txbxContent>
                </v:textbox>
              </v:shape>
            </w:pict>
          </mc:Fallback>
        </mc:AlternateContent>
      </w:r>
    </w:p>
    <w:p w:rsidR="004A0AA2" w:rsidRPr="004A0AA2" w:rsidRDefault="004A0AA2" w:rsidP="004A0AA2">
      <w:pPr>
        <w:rPr>
          <w:rFonts w:ascii="宋体" w:eastAsia="宋体" w:hAnsi="宋体" w:cs="Calibri"/>
          <w:szCs w:val="21"/>
        </w:rPr>
      </w:pPr>
      <w:r w:rsidRPr="004A0AA2">
        <w:rPr>
          <w:rFonts w:ascii="宋体" w:eastAsia="宋体" w:hAnsi="宋体" w:cs="Calibri"/>
          <w:noProof/>
          <w:szCs w:val="21"/>
        </w:rPr>
        <mc:AlternateContent>
          <mc:Choice Requires="wps">
            <w:drawing>
              <wp:anchor distT="4294967294" distB="4294967294" distL="114300" distR="114300" simplePos="0" relativeHeight="251673600" behindDoc="0" locked="0" layoutInCell="1" allowOverlap="1" wp14:anchorId="64080F01" wp14:editId="243477DA">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sidRPr="004A0AA2">
        <w:rPr>
          <w:rFonts w:ascii="宋体" w:eastAsia="宋体" w:hAnsi="宋体" w:cs="Calibri"/>
          <w:noProof/>
          <w:szCs w:val="21"/>
        </w:rPr>
        <mc:AlternateContent>
          <mc:Choice Requires="wps">
            <w:drawing>
              <wp:anchor distT="4294967294" distB="4294967294" distL="114300" distR="114300" simplePos="0" relativeHeight="251664384" behindDoc="0" locked="0" layoutInCell="1" allowOverlap="1" wp14:anchorId="0BE69B8C" wp14:editId="28EA09ED">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sidRPr="004A0AA2">
        <w:rPr>
          <w:rFonts w:ascii="宋体" w:eastAsia="宋体" w:hAnsi="宋体" w:cs="Calibri"/>
          <w:noProof/>
          <w:szCs w:val="21"/>
        </w:rPr>
        <mc:AlternateContent>
          <mc:Choice Requires="wps">
            <w:drawing>
              <wp:anchor distT="4294967294" distB="4294967294" distL="114300" distR="114300" simplePos="0" relativeHeight="251663360" behindDoc="0" locked="0" layoutInCell="1" allowOverlap="1" wp14:anchorId="358B8830" wp14:editId="44F47107">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4A0AA2" w:rsidRPr="004A0AA2" w:rsidRDefault="004A0AA2" w:rsidP="004A0AA2">
      <w:pPr>
        <w:rPr>
          <w:rFonts w:ascii="宋体" w:eastAsia="宋体" w:hAnsi="宋体" w:cs="Calibri"/>
          <w:szCs w:val="21"/>
        </w:rPr>
      </w:pPr>
    </w:p>
    <w:p w:rsidR="004A0AA2" w:rsidRPr="004A0AA2" w:rsidRDefault="004A0AA2" w:rsidP="004A0AA2">
      <w:pPr>
        <w:ind w:firstLineChars="200" w:firstLine="420"/>
        <w:rPr>
          <w:rFonts w:ascii="宋体" w:eastAsia="宋体" w:hAnsi="宋体" w:cs="Calibri"/>
          <w:szCs w:val="21"/>
        </w:rPr>
      </w:pP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若您认购前已在我行开立结算账户，可直接进行下一步骤。我行强烈建议</w:t>
      </w:r>
      <w:proofErr w:type="gramStart"/>
      <w:r w:rsidRPr="004A0AA2">
        <w:rPr>
          <w:rFonts w:ascii="宋体" w:eastAsia="宋体" w:hAnsi="宋体" w:cs="Calibri" w:hint="eastAsia"/>
          <w:szCs w:val="21"/>
        </w:rPr>
        <w:t>您采用</w:t>
      </w:r>
      <w:proofErr w:type="gramEnd"/>
      <w:r w:rsidRPr="004A0AA2">
        <w:rPr>
          <w:rFonts w:ascii="宋体" w:eastAsia="宋体" w:hAnsi="宋体" w:cs="Calibri" w:hint="eastAsia"/>
          <w:szCs w:val="21"/>
        </w:rPr>
        <w:t>自助终端、手机银行渠道进行理财产品认购，系统会提示您进行每一步操作，产品办理更加方便快捷。</w:t>
      </w:r>
    </w:p>
    <w:p w:rsidR="004A0AA2" w:rsidRPr="004A0AA2" w:rsidRDefault="004A0AA2" w:rsidP="004A0AA2">
      <w:pPr>
        <w:spacing w:line="400" w:lineRule="exact"/>
        <w:ind w:left="420"/>
        <w:rPr>
          <w:rFonts w:ascii="宋体" w:eastAsia="宋体" w:hAnsi="宋体" w:cs="Calibri"/>
          <w:szCs w:val="21"/>
        </w:rPr>
      </w:pPr>
      <w:r w:rsidRPr="004A0AA2">
        <w:rPr>
          <w:rFonts w:ascii="宋体" w:eastAsia="宋体" w:hAnsi="宋体" w:cs="Calibri" w:hint="eastAsia"/>
          <w:szCs w:val="21"/>
        </w:rPr>
        <w:t>（二）风险测评流程</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1.客户风险测评采用《嘉善农商行理财客户风险评估问卷》进行，您需回答涉及自身财务状况、投资经验、投资风格、风险承受能力四个方面共11小题，得出风险测评结果。</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2.客户首次认购理财产品前必须在我行网点进行风险测评，有效期1年，期间认购理财产品无需再次测评；若</w:t>
      </w:r>
      <w:proofErr w:type="gramStart"/>
      <w:r w:rsidRPr="004A0AA2">
        <w:rPr>
          <w:rFonts w:ascii="宋体" w:eastAsia="宋体" w:hAnsi="宋体" w:cs="Calibri" w:hint="eastAsia"/>
          <w:szCs w:val="21"/>
        </w:rPr>
        <w:t>您超过1年未再次</w:t>
      </w:r>
      <w:proofErr w:type="gramEnd"/>
      <w:r w:rsidRPr="004A0AA2">
        <w:rPr>
          <w:rFonts w:ascii="宋体" w:eastAsia="宋体" w:hAnsi="宋体" w:cs="Calibri" w:hint="eastAsia"/>
          <w:szCs w:val="21"/>
        </w:rPr>
        <w:t>进行风险测评或判断自身风险承受能力产生变化，应在我行营业柜台或手机银行等电子渠道重新进行风险测评。</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4A0AA2" w:rsidRPr="004A0AA2" w:rsidTr="00486AC5">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4A0AA2" w:rsidRPr="004A0AA2" w:rsidRDefault="004A0AA2" w:rsidP="004A0AA2">
            <w:pPr>
              <w:widowControl/>
              <w:jc w:val="center"/>
              <w:rPr>
                <w:rFonts w:ascii="宋体" w:eastAsia="宋体" w:hAnsi="宋体" w:cs="宋体"/>
                <w:b/>
                <w:kern w:val="0"/>
                <w:sz w:val="18"/>
                <w:szCs w:val="18"/>
              </w:rPr>
            </w:pPr>
            <w:r w:rsidRPr="004A0AA2">
              <w:rPr>
                <w:rFonts w:ascii="宋体" w:eastAsia="宋体" w:hAnsi="宋体" w:cs="宋体" w:hint="eastAsia"/>
                <w:b/>
                <w:kern w:val="0"/>
                <w:sz w:val="18"/>
                <w:szCs w:val="18"/>
              </w:rPr>
              <w:t>客户风险测评等级与理财产品风险登记匹配表</w:t>
            </w:r>
          </w:p>
        </w:tc>
      </w:tr>
      <w:tr w:rsidR="004A0AA2" w:rsidRPr="004A0AA2" w:rsidTr="00486AC5">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 xml:space="preserve">                              理财产品</w:t>
            </w:r>
            <w:r w:rsidRPr="004A0AA2">
              <w:rPr>
                <w:rFonts w:ascii="宋体" w:eastAsia="宋体" w:hAnsi="宋体" w:cs="宋体" w:hint="eastAsia"/>
                <w:kern w:val="0"/>
                <w:sz w:val="18"/>
                <w:szCs w:val="18"/>
              </w:rPr>
              <w:br/>
              <w:t xml:space="preserve">                              风险类型</w:t>
            </w:r>
            <w:r w:rsidRPr="004A0AA2">
              <w:rPr>
                <w:rFonts w:ascii="宋体" w:eastAsia="宋体" w:hAnsi="宋体" w:cs="宋体" w:hint="eastAsia"/>
                <w:kern w:val="0"/>
                <w:sz w:val="18"/>
                <w:szCs w:val="18"/>
              </w:rPr>
              <w:br/>
              <w:t xml:space="preserve">    客户风险</w:t>
            </w:r>
          </w:p>
          <w:p w:rsidR="004A0AA2" w:rsidRPr="004A0AA2" w:rsidRDefault="004A0AA2" w:rsidP="004A0AA2">
            <w:pPr>
              <w:widowControl/>
              <w:ind w:firstLineChars="200" w:firstLine="360"/>
              <w:jc w:val="left"/>
              <w:rPr>
                <w:rFonts w:ascii="宋体" w:eastAsia="宋体" w:hAnsi="宋体" w:cs="宋体"/>
                <w:kern w:val="0"/>
                <w:sz w:val="18"/>
                <w:szCs w:val="18"/>
              </w:rPr>
            </w:pPr>
            <w:r w:rsidRPr="004A0AA2">
              <w:rPr>
                <w:rFonts w:ascii="宋体" w:eastAsia="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4A0AA2" w:rsidRPr="004A0AA2" w:rsidRDefault="004A0AA2" w:rsidP="004A0AA2">
            <w:pPr>
              <w:widowControl/>
              <w:adjustRightInd w:val="0"/>
              <w:snapToGrid w:val="0"/>
              <w:spacing w:line="500" w:lineRule="exact"/>
              <w:jc w:val="center"/>
              <w:textAlignment w:val="center"/>
              <w:rPr>
                <w:rFonts w:ascii="宋体" w:eastAsia="宋体" w:hAnsi="宋体" w:cs="宋体"/>
                <w:kern w:val="0"/>
                <w:sz w:val="18"/>
                <w:szCs w:val="18"/>
              </w:rPr>
            </w:pPr>
            <w:r w:rsidRPr="004A0AA2">
              <w:rPr>
                <w:rFonts w:ascii="宋体" w:eastAsia="宋体" w:hAnsi="宋体" w:cs="宋体" w:hint="eastAsia"/>
                <w:kern w:val="0"/>
                <w:sz w:val="18"/>
                <w:szCs w:val="18"/>
              </w:rPr>
              <w:t>PR1级</w:t>
            </w:r>
          </w:p>
          <w:p w:rsidR="004A0AA2" w:rsidRPr="004A0AA2" w:rsidRDefault="004A0AA2" w:rsidP="004A0AA2">
            <w:pPr>
              <w:widowControl/>
              <w:jc w:val="center"/>
              <w:rPr>
                <w:rFonts w:ascii="宋体" w:eastAsia="宋体" w:hAnsi="宋体" w:cs="宋体"/>
                <w:kern w:val="0"/>
                <w:sz w:val="18"/>
                <w:szCs w:val="18"/>
              </w:rPr>
            </w:pPr>
            <w:r w:rsidRPr="004A0AA2">
              <w:rPr>
                <w:rFonts w:ascii="宋体" w:eastAsia="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4A0AA2" w:rsidRPr="004A0AA2" w:rsidRDefault="004A0AA2" w:rsidP="004A0AA2">
            <w:pPr>
              <w:widowControl/>
              <w:adjustRightInd w:val="0"/>
              <w:snapToGrid w:val="0"/>
              <w:spacing w:line="500" w:lineRule="exact"/>
              <w:jc w:val="center"/>
              <w:textAlignment w:val="center"/>
              <w:rPr>
                <w:rFonts w:ascii="宋体" w:eastAsia="宋体" w:hAnsi="宋体" w:cs="宋体"/>
                <w:kern w:val="0"/>
                <w:sz w:val="18"/>
                <w:szCs w:val="18"/>
              </w:rPr>
            </w:pPr>
            <w:r w:rsidRPr="004A0AA2">
              <w:rPr>
                <w:rFonts w:ascii="宋体" w:eastAsia="宋体" w:hAnsi="宋体" w:cs="宋体" w:hint="eastAsia"/>
                <w:kern w:val="0"/>
                <w:sz w:val="18"/>
                <w:szCs w:val="18"/>
              </w:rPr>
              <w:t>PR2级</w:t>
            </w:r>
          </w:p>
          <w:p w:rsidR="004A0AA2" w:rsidRPr="004A0AA2" w:rsidRDefault="004A0AA2" w:rsidP="004A0AA2">
            <w:pPr>
              <w:widowControl/>
              <w:jc w:val="center"/>
              <w:rPr>
                <w:rFonts w:ascii="宋体" w:eastAsia="宋体" w:hAnsi="宋体" w:cs="宋体"/>
                <w:kern w:val="0"/>
                <w:sz w:val="18"/>
                <w:szCs w:val="18"/>
              </w:rPr>
            </w:pPr>
            <w:r w:rsidRPr="004A0AA2">
              <w:rPr>
                <w:rFonts w:ascii="宋体" w:eastAsia="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4A0AA2" w:rsidRPr="004A0AA2" w:rsidRDefault="004A0AA2" w:rsidP="004A0AA2">
            <w:pPr>
              <w:widowControl/>
              <w:adjustRightInd w:val="0"/>
              <w:snapToGrid w:val="0"/>
              <w:spacing w:line="500" w:lineRule="exact"/>
              <w:jc w:val="center"/>
              <w:textAlignment w:val="center"/>
              <w:rPr>
                <w:rFonts w:ascii="宋体" w:eastAsia="宋体" w:hAnsi="宋体" w:cs="宋体"/>
                <w:kern w:val="0"/>
                <w:sz w:val="18"/>
                <w:szCs w:val="18"/>
              </w:rPr>
            </w:pPr>
            <w:r w:rsidRPr="004A0AA2">
              <w:rPr>
                <w:rFonts w:ascii="宋体" w:eastAsia="宋体" w:hAnsi="宋体" w:cs="宋体" w:hint="eastAsia"/>
                <w:kern w:val="0"/>
                <w:sz w:val="18"/>
                <w:szCs w:val="18"/>
              </w:rPr>
              <w:t>PR3级</w:t>
            </w:r>
          </w:p>
          <w:p w:rsidR="004A0AA2" w:rsidRPr="004A0AA2" w:rsidRDefault="004A0AA2" w:rsidP="004A0AA2">
            <w:pPr>
              <w:widowControl/>
              <w:jc w:val="center"/>
              <w:rPr>
                <w:rFonts w:ascii="宋体" w:eastAsia="宋体" w:hAnsi="宋体" w:cs="宋体"/>
                <w:kern w:val="0"/>
                <w:sz w:val="18"/>
                <w:szCs w:val="18"/>
              </w:rPr>
            </w:pPr>
            <w:r w:rsidRPr="004A0AA2">
              <w:rPr>
                <w:rFonts w:ascii="宋体" w:eastAsia="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4A0AA2" w:rsidRPr="004A0AA2" w:rsidRDefault="004A0AA2" w:rsidP="004A0AA2">
            <w:pPr>
              <w:widowControl/>
              <w:adjustRightInd w:val="0"/>
              <w:snapToGrid w:val="0"/>
              <w:spacing w:line="500" w:lineRule="exact"/>
              <w:jc w:val="center"/>
              <w:textAlignment w:val="center"/>
              <w:rPr>
                <w:rFonts w:ascii="宋体" w:eastAsia="宋体" w:hAnsi="宋体" w:cs="宋体"/>
                <w:kern w:val="0"/>
                <w:sz w:val="18"/>
                <w:szCs w:val="18"/>
              </w:rPr>
            </w:pPr>
            <w:r w:rsidRPr="004A0AA2">
              <w:rPr>
                <w:rFonts w:ascii="宋体" w:eastAsia="宋体" w:hAnsi="宋体" w:cs="宋体" w:hint="eastAsia"/>
                <w:kern w:val="0"/>
                <w:sz w:val="18"/>
                <w:szCs w:val="18"/>
              </w:rPr>
              <w:t>PR4级</w:t>
            </w:r>
          </w:p>
          <w:p w:rsidR="004A0AA2" w:rsidRPr="004A0AA2" w:rsidRDefault="004A0AA2" w:rsidP="004A0AA2">
            <w:pPr>
              <w:widowControl/>
              <w:jc w:val="center"/>
              <w:rPr>
                <w:rFonts w:ascii="宋体" w:eastAsia="宋体" w:hAnsi="宋体" w:cs="宋体"/>
                <w:kern w:val="0"/>
                <w:sz w:val="18"/>
                <w:szCs w:val="18"/>
              </w:rPr>
            </w:pPr>
            <w:r w:rsidRPr="004A0AA2">
              <w:rPr>
                <w:rFonts w:ascii="宋体" w:eastAsia="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4A0AA2" w:rsidRPr="004A0AA2" w:rsidRDefault="004A0AA2" w:rsidP="004A0AA2">
            <w:pPr>
              <w:widowControl/>
              <w:adjustRightInd w:val="0"/>
              <w:snapToGrid w:val="0"/>
              <w:spacing w:line="500" w:lineRule="exact"/>
              <w:jc w:val="center"/>
              <w:textAlignment w:val="center"/>
              <w:rPr>
                <w:rFonts w:ascii="宋体" w:eastAsia="宋体" w:hAnsi="宋体" w:cs="宋体"/>
                <w:kern w:val="0"/>
                <w:sz w:val="18"/>
                <w:szCs w:val="18"/>
              </w:rPr>
            </w:pPr>
            <w:r w:rsidRPr="004A0AA2">
              <w:rPr>
                <w:rFonts w:ascii="宋体" w:eastAsia="宋体" w:hAnsi="宋体" w:cs="宋体" w:hint="eastAsia"/>
                <w:kern w:val="0"/>
                <w:sz w:val="18"/>
                <w:szCs w:val="18"/>
              </w:rPr>
              <w:t>PR5级</w:t>
            </w:r>
          </w:p>
          <w:p w:rsidR="004A0AA2" w:rsidRPr="004A0AA2" w:rsidRDefault="004A0AA2" w:rsidP="004A0AA2">
            <w:pPr>
              <w:widowControl/>
              <w:jc w:val="center"/>
              <w:rPr>
                <w:rFonts w:ascii="宋体" w:eastAsia="宋体" w:hAnsi="宋体" w:cs="宋体"/>
                <w:kern w:val="0"/>
                <w:sz w:val="18"/>
                <w:szCs w:val="18"/>
              </w:rPr>
            </w:pPr>
            <w:r w:rsidRPr="004A0AA2">
              <w:rPr>
                <w:rFonts w:ascii="宋体" w:eastAsia="宋体" w:hAnsi="宋体" w:cs="宋体" w:hint="eastAsia"/>
                <w:kern w:val="0"/>
                <w:sz w:val="18"/>
                <w:szCs w:val="18"/>
              </w:rPr>
              <w:t>高风险</w:t>
            </w:r>
          </w:p>
        </w:tc>
      </w:tr>
      <w:tr w:rsidR="004A0AA2" w:rsidRPr="004A0AA2" w:rsidTr="00486AC5">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b/>
                <w:kern w:val="0"/>
                <w:sz w:val="18"/>
                <w:szCs w:val="18"/>
              </w:rPr>
              <w:t>保守型</w:t>
            </w:r>
          </w:p>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您属于可以</w:t>
            </w:r>
            <w:proofErr w:type="gramStart"/>
            <w:r w:rsidRPr="004A0AA2">
              <w:rPr>
                <w:rFonts w:ascii="宋体" w:eastAsia="宋体" w:hAnsi="宋体" w:cs="宋体" w:hint="eastAsia"/>
                <w:kern w:val="0"/>
                <w:sz w:val="18"/>
                <w:szCs w:val="18"/>
              </w:rPr>
              <w:t>承担低</w:t>
            </w:r>
            <w:proofErr w:type="gramEnd"/>
            <w:r w:rsidRPr="004A0AA2">
              <w:rPr>
                <w:rFonts w:ascii="宋体" w:eastAsia="宋体" w:hAnsi="宋体" w:cs="宋体" w:hint="eastAsia"/>
                <w:kern w:val="0"/>
                <w:sz w:val="18"/>
                <w:szCs w:val="18"/>
              </w:rPr>
              <w:t>风险而作风谨慎类型的投资者。您适合投资于以保本为主的投资工具，但</w:t>
            </w:r>
            <w:proofErr w:type="gramStart"/>
            <w:r w:rsidRPr="004A0AA2">
              <w:rPr>
                <w:rFonts w:ascii="宋体" w:eastAsia="宋体" w:hAnsi="宋体" w:cs="宋体" w:hint="eastAsia"/>
                <w:kern w:val="0"/>
                <w:sz w:val="18"/>
                <w:szCs w:val="18"/>
              </w:rPr>
              <w:t>您因此</w:t>
            </w:r>
            <w:proofErr w:type="gramEnd"/>
            <w:r w:rsidRPr="004A0AA2">
              <w:rPr>
                <w:rFonts w:ascii="宋体" w:eastAsia="宋体" w:hAnsi="宋体" w:cs="宋体" w:hint="eastAsia"/>
                <w:kern w:val="0"/>
                <w:sz w:val="18"/>
                <w:szCs w:val="18"/>
              </w:rPr>
              <w:t>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r>
      <w:tr w:rsidR="004A0AA2" w:rsidRPr="004A0AA2" w:rsidTr="00486AC5">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4A0AA2" w:rsidRPr="004A0AA2" w:rsidRDefault="004A0AA2" w:rsidP="004A0AA2">
            <w:pPr>
              <w:widowControl/>
              <w:jc w:val="left"/>
              <w:rPr>
                <w:rFonts w:ascii="宋体" w:eastAsia="宋体" w:hAnsi="宋体" w:cs="宋体"/>
                <w:b/>
                <w:kern w:val="0"/>
                <w:sz w:val="18"/>
                <w:szCs w:val="18"/>
              </w:rPr>
            </w:pPr>
            <w:r w:rsidRPr="004A0AA2">
              <w:rPr>
                <w:rFonts w:ascii="宋体" w:eastAsia="宋体" w:hAnsi="宋体" w:cs="宋体" w:hint="eastAsia"/>
                <w:b/>
                <w:kern w:val="0"/>
                <w:sz w:val="18"/>
                <w:szCs w:val="18"/>
              </w:rPr>
              <w:lastRenderedPageBreak/>
              <w:t>谨慎型</w:t>
            </w:r>
          </w:p>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r>
      <w:tr w:rsidR="004A0AA2" w:rsidRPr="004A0AA2" w:rsidTr="00486AC5">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b/>
                <w:kern w:val="0"/>
                <w:sz w:val="18"/>
                <w:szCs w:val="18"/>
              </w:rPr>
              <w:t>稳健型</w:t>
            </w:r>
          </w:p>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r>
      <w:tr w:rsidR="004A0AA2" w:rsidRPr="004A0AA2" w:rsidTr="00486AC5">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b/>
                <w:kern w:val="0"/>
                <w:sz w:val="18"/>
                <w:szCs w:val="18"/>
              </w:rPr>
              <w:t>进取型</w:t>
            </w:r>
          </w:p>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kern w:val="0"/>
                <w:sz w:val="18"/>
                <w:szCs w:val="18"/>
              </w:rPr>
            </w:pPr>
            <w:r w:rsidRPr="004A0AA2">
              <w:rPr>
                <w:rFonts w:ascii="宋体" w:eastAsia="宋体" w:hAnsi="宋体" w:cs="Calibri" w:hint="eastAsia"/>
                <w:kern w:val="0"/>
                <w:sz w:val="18"/>
                <w:szCs w:val="18"/>
              </w:rPr>
              <w:t xml:space="preserve">　</w:t>
            </w:r>
          </w:p>
        </w:tc>
      </w:tr>
      <w:tr w:rsidR="004A0AA2" w:rsidRPr="004A0AA2" w:rsidTr="00486AC5">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b/>
                <w:kern w:val="0"/>
                <w:sz w:val="18"/>
                <w:szCs w:val="18"/>
              </w:rPr>
              <w:t>激进型</w:t>
            </w:r>
          </w:p>
          <w:p w:rsidR="004A0AA2" w:rsidRPr="004A0AA2" w:rsidRDefault="004A0AA2" w:rsidP="004A0AA2">
            <w:pPr>
              <w:widowControl/>
              <w:jc w:val="left"/>
              <w:rPr>
                <w:rFonts w:ascii="宋体" w:eastAsia="宋体" w:hAnsi="宋体" w:cs="宋体"/>
                <w:kern w:val="0"/>
                <w:sz w:val="18"/>
                <w:szCs w:val="18"/>
              </w:rPr>
            </w:pPr>
            <w:r w:rsidRPr="004A0AA2">
              <w:rPr>
                <w:rFonts w:ascii="宋体" w:eastAsia="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4A0AA2" w:rsidRPr="004A0AA2" w:rsidRDefault="004A0AA2" w:rsidP="004A0AA2">
            <w:pPr>
              <w:widowControl/>
              <w:jc w:val="center"/>
              <w:rPr>
                <w:rFonts w:ascii="宋体" w:eastAsia="宋体" w:hAnsi="宋体" w:cs="Calibri"/>
                <w:b/>
                <w:kern w:val="0"/>
                <w:sz w:val="18"/>
                <w:szCs w:val="18"/>
              </w:rPr>
            </w:pPr>
            <w:r w:rsidRPr="004A0AA2">
              <w:rPr>
                <w:rFonts w:ascii="宋体" w:eastAsia="宋体" w:hAnsi="宋体" w:cs="Calibri" w:hint="eastAsia"/>
                <w:b/>
                <w:kern w:val="0"/>
                <w:sz w:val="18"/>
                <w:szCs w:val="18"/>
              </w:rPr>
              <w:t>√</w:t>
            </w:r>
          </w:p>
        </w:tc>
      </w:tr>
    </w:tbl>
    <w:p w:rsidR="004A0AA2" w:rsidRPr="004A0AA2" w:rsidRDefault="004A0AA2" w:rsidP="004A0AA2">
      <w:pPr>
        <w:rPr>
          <w:rFonts w:ascii="宋体" w:eastAsia="宋体" w:hAnsi="宋体" w:cs="Calibri"/>
          <w:szCs w:val="21"/>
        </w:rPr>
      </w:pPr>
    </w:p>
    <w:p w:rsidR="004A0AA2" w:rsidRPr="004A0AA2" w:rsidRDefault="004A0AA2" w:rsidP="004A0AA2">
      <w:pPr>
        <w:spacing w:line="400" w:lineRule="exact"/>
        <w:ind w:left="420"/>
        <w:rPr>
          <w:rFonts w:ascii="宋体" w:eastAsia="宋体" w:hAnsi="宋体" w:cs="Calibri"/>
          <w:szCs w:val="21"/>
        </w:rPr>
      </w:pPr>
      <w:r w:rsidRPr="004A0AA2">
        <w:rPr>
          <w:rFonts w:ascii="宋体" w:eastAsia="宋体" w:hAnsi="宋体" w:cs="Calibri" w:hint="eastAsia"/>
          <w:szCs w:val="21"/>
        </w:rPr>
        <w:t>（三）理财信息披露</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1.理财产品收益率、产品终止或提前终止、产品延期、产品清算、产品净值、结构性产品挂钩标的市场表现等信息，我行将在官方网站发布公告，请您及时登录嘉善农商行网站（</w:t>
      </w:r>
      <w:r w:rsidRPr="004A0AA2">
        <w:rPr>
          <w:rFonts w:ascii="宋体" w:eastAsia="宋体" w:hAnsi="宋体" w:cs="Calibri"/>
          <w:szCs w:val="21"/>
        </w:rPr>
        <w:t>www.</w:t>
      </w:r>
      <w:r w:rsidRPr="004A0AA2">
        <w:rPr>
          <w:rFonts w:ascii="Calibri" w:eastAsia="宋体" w:hAnsi="Calibri" w:cs="Calibri"/>
          <w:szCs w:val="21"/>
        </w:rPr>
        <w:t xml:space="preserve"> </w:t>
      </w:r>
      <w:r w:rsidRPr="004A0AA2">
        <w:rPr>
          <w:rFonts w:ascii="宋体" w:eastAsia="宋体" w:hAnsi="宋体" w:cs="Calibri"/>
          <w:szCs w:val="21"/>
        </w:rPr>
        <w:t>zjjsbank.</w:t>
      </w:r>
      <w:r w:rsidRPr="004A0AA2">
        <w:rPr>
          <w:rFonts w:ascii="宋体" w:eastAsia="宋体" w:hAnsi="宋体" w:cs="Calibri" w:hint="eastAsia"/>
          <w:szCs w:val="21"/>
        </w:rPr>
        <w:t>com），或到嘉善农商行各营业网点或拨打咨询热线0573-84226126进行咨询。</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2.重大事项披露和披露方式：对于我行认为已经、即将或可能对理财产品的全体投资者利益有重大影响的事项，嘉善农商行将在3个工作日内，通过官方网站或/及银行认为适当的其他方式进行公告。</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3.特殊事项披露和披露方式：若遇需要单独告知或确认的特殊事项，我行将通过您的预留联系方式进行告知或确认。您预留在嘉善农商行的有效联系方式变更的，应及时到我行营业柜台办理信息更新。</w:t>
      </w:r>
    </w:p>
    <w:p w:rsidR="004A0AA2" w:rsidRPr="004A0AA2" w:rsidRDefault="004A0AA2" w:rsidP="004A0AA2">
      <w:pPr>
        <w:spacing w:line="400" w:lineRule="exact"/>
        <w:ind w:left="420"/>
        <w:rPr>
          <w:rFonts w:ascii="宋体" w:eastAsia="宋体" w:hAnsi="宋体" w:cs="Calibri"/>
          <w:szCs w:val="21"/>
        </w:rPr>
      </w:pPr>
      <w:r w:rsidRPr="004A0AA2">
        <w:rPr>
          <w:rFonts w:ascii="宋体" w:eastAsia="宋体" w:hAnsi="宋体" w:cs="Calibri" w:hint="eastAsia"/>
          <w:szCs w:val="21"/>
        </w:rPr>
        <w:t>（四）客户咨询投诉渠道及嘉善农商行联系方式</w:t>
      </w:r>
    </w:p>
    <w:p w:rsidR="004A0AA2" w:rsidRPr="004A0AA2" w:rsidRDefault="004A0AA2" w:rsidP="004A0AA2">
      <w:pPr>
        <w:spacing w:line="400" w:lineRule="exact"/>
        <w:ind w:firstLineChars="200" w:firstLine="420"/>
        <w:rPr>
          <w:rFonts w:ascii="宋体" w:eastAsia="宋体" w:hAnsi="宋体" w:cs="Calibri"/>
          <w:szCs w:val="21"/>
        </w:rPr>
      </w:pPr>
      <w:r w:rsidRPr="004A0AA2">
        <w:rPr>
          <w:rFonts w:ascii="宋体" w:eastAsia="宋体" w:hAnsi="宋体" w:cs="Calibri" w:hint="eastAsia"/>
          <w:szCs w:val="21"/>
        </w:rPr>
        <w:t>若您在理财产品办理中有任何的疑问或不满，可拨打我行理财业务投诉热线0573-84226126进行咨询或投诉；或就近咨询嘉善农商行网点理财经理。</w:t>
      </w:r>
    </w:p>
    <w:p w:rsidR="003A37FD" w:rsidRPr="004A0AA2" w:rsidRDefault="003A37FD"/>
    <w:sectPr w:rsidR="003A37FD" w:rsidRPr="004A0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93" w:rsidRDefault="00684D93" w:rsidP="004A0AA2">
      <w:r>
        <w:separator/>
      </w:r>
    </w:p>
  </w:endnote>
  <w:endnote w:type="continuationSeparator" w:id="0">
    <w:p w:rsidR="00684D93" w:rsidRDefault="00684D93" w:rsidP="004A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93" w:rsidRDefault="00684D93" w:rsidP="004A0AA2">
      <w:r>
        <w:separator/>
      </w:r>
    </w:p>
  </w:footnote>
  <w:footnote w:type="continuationSeparator" w:id="0">
    <w:p w:rsidR="00684D93" w:rsidRDefault="00684D93" w:rsidP="004A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81"/>
    <w:rsid w:val="00082209"/>
    <w:rsid w:val="000D481A"/>
    <w:rsid w:val="003A00A3"/>
    <w:rsid w:val="003A37FD"/>
    <w:rsid w:val="004A0AA2"/>
    <w:rsid w:val="004B05C1"/>
    <w:rsid w:val="004C02F2"/>
    <w:rsid w:val="00513106"/>
    <w:rsid w:val="00684D93"/>
    <w:rsid w:val="006C3DE8"/>
    <w:rsid w:val="006C7481"/>
    <w:rsid w:val="009166F3"/>
    <w:rsid w:val="00B92C31"/>
    <w:rsid w:val="00C17985"/>
    <w:rsid w:val="00C46BBD"/>
    <w:rsid w:val="00CB63FF"/>
    <w:rsid w:val="00D76F14"/>
    <w:rsid w:val="00FB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AA2"/>
    <w:rPr>
      <w:sz w:val="18"/>
      <w:szCs w:val="18"/>
    </w:rPr>
  </w:style>
  <w:style w:type="paragraph" w:styleId="a4">
    <w:name w:val="footer"/>
    <w:basedOn w:val="a"/>
    <w:link w:val="Char0"/>
    <w:uiPriority w:val="99"/>
    <w:unhideWhenUsed/>
    <w:rsid w:val="004A0AA2"/>
    <w:pPr>
      <w:tabs>
        <w:tab w:val="center" w:pos="4153"/>
        <w:tab w:val="right" w:pos="8306"/>
      </w:tabs>
      <w:snapToGrid w:val="0"/>
      <w:jc w:val="left"/>
    </w:pPr>
    <w:rPr>
      <w:sz w:val="18"/>
      <w:szCs w:val="18"/>
    </w:rPr>
  </w:style>
  <w:style w:type="character" w:customStyle="1" w:styleId="Char0">
    <w:name w:val="页脚 Char"/>
    <w:basedOn w:val="a0"/>
    <w:link w:val="a4"/>
    <w:uiPriority w:val="99"/>
    <w:rsid w:val="004A0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AA2"/>
    <w:rPr>
      <w:sz w:val="18"/>
      <w:szCs w:val="18"/>
    </w:rPr>
  </w:style>
  <w:style w:type="paragraph" w:styleId="a4">
    <w:name w:val="footer"/>
    <w:basedOn w:val="a"/>
    <w:link w:val="Char0"/>
    <w:uiPriority w:val="99"/>
    <w:unhideWhenUsed/>
    <w:rsid w:val="004A0AA2"/>
    <w:pPr>
      <w:tabs>
        <w:tab w:val="center" w:pos="4153"/>
        <w:tab w:val="right" w:pos="8306"/>
      </w:tabs>
      <w:snapToGrid w:val="0"/>
      <w:jc w:val="left"/>
    </w:pPr>
    <w:rPr>
      <w:sz w:val="18"/>
      <w:szCs w:val="18"/>
    </w:rPr>
  </w:style>
  <w:style w:type="character" w:customStyle="1" w:styleId="Char0">
    <w:name w:val="页脚 Char"/>
    <w:basedOn w:val="a0"/>
    <w:link w:val="a4"/>
    <w:uiPriority w:val="99"/>
    <w:rsid w:val="004A0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嘉善农商银行</dc:creator>
  <cp:keywords/>
  <dc:description/>
  <cp:lastModifiedBy>嘉善农商银行</cp:lastModifiedBy>
  <cp:revision>4</cp:revision>
  <dcterms:created xsi:type="dcterms:W3CDTF">2020-05-21T02:32:00Z</dcterms:created>
  <dcterms:modified xsi:type="dcterms:W3CDTF">2020-05-21T02:55:00Z</dcterms:modified>
</cp:coreProperties>
</file>