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方正小标宋简体" w:eastAsia="方正小标宋简体" w:cs="方正小标宋简体"/>
          <w:color w:val="000000"/>
          <w:kern w:val="0"/>
          <w:sz w:val="44"/>
          <w:szCs w:val="44"/>
          <w:highlight w:val="none"/>
        </w:rPr>
      </w:pPr>
      <w:r>
        <w:rPr>
          <w:rFonts w:hint="eastAsia" w:ascii="楷体_GB2312" w:hAnsi="楷体" w:eastAsia="楷体_GB2312"/>
          <w:b/>
          <w:sz w:val="36"/>
          <w:szCs w:val="36"/>
          <w:highlight w:val="none"/>
        </w:rPr>
        <w:t>附件3</w:t>
      </w:r>
    </w:p>
    <w:p>
      <w:pPr>
        <w:widowControl/>
        <w:spacing w:line="560" w:lineRule="exact"/>
        <w:jc w:val="center"/>
        <w:rPr>
          <w:rFonts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浙江嘉善农村商业银行股份有限公司</w:t>
      </w:r>
    </w:p>
    <w:p>
      <w:pPr>
        <w:widowControl/>
        <w:spacing w:line="560" w:lineRule="exact"/>
        <w:jc w:val="center"/>
        <w:rPr>
          <w:rFonts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202</w:t>
      </w:r>
      <w:r>
        <w:rPr>
          <w:rFonts w:ascii="方正小标宋简体" w:hAnsi="方正小标宋简体" w:eastAsia="方正小标宋简体" w:cs="方正小标宋简体"/>
          <w:color w:val="000000"/>
          <w:kern w:val="0"/>
          <w:sz w:val="36"/>
          <w:szCs w:val="36"/>
          <w:highlight w:val="none"/>
        </w:rPr>
        <w:t>2</w:t>
      </w:r>
      <w:r>
        <w:rPr>
          <w:rFonts w:hint="eastAsia" w:ascii="方正小标宋简体" w:hAnsi="方正小标宋简体" w:eastAsia="方正小标宋简体" w:cs="方正小标宋简体"/>
          <w:color w:val="000000"/>
          <w:kern w:val="0"/>
          <w:sz w:val="36"/>
          <w:szCs w:val="36"/>
          <w:highlight w:val="none"/>
        </w:rPr>
        <w:t>年度独立董事工作情况的报告</w:t>
      </w:r>
    </w:p>
    <w:p>
      <w:pPr>
        <w:widowControl/>
        <w:spacing w:line="560" w:lineRule="exact"/>
        <w:ind w:left="160" w:leftChars="50" w:firstLine="640" w:firstLineChars="200"/>
        <w:jc w:val="left"/>
        <w:rPr>
          <w:rFonts w:ascii="仿宋_GB2312" w:hAnsi="宋体" w:cs="宋体"/>
          <w:color w:val="000000"/>
          <w:kern w:val="0"/>
          <w:highlight w:val="none"/>
        </w:rPr>
      </w:pPr>
    </w:p>
    <w:p>
      <w:pPr>
        <w:widowControl/>
        <w:spacing w:line="560" w:lineRule="exact"/>
        <w:ind w:left="160" w:leftChars="50" w:firstLine="640" w:firstLineChars="200"/>
        <w:jc w:val="left"/>
        <w:rPr>
          <w:rFonts w:ascii="仿宋_GB2312" w:hAnsi="宋体" w:cs="宋体"/>
          <w:color w:val="000000"/>
          <w:kern w:val="0"/>
          <w:highlight w:val="none"/>
        </w:rPr>
      </w:pPr>
      <w:r>
        <w:rPr>
          <w:rFonts w:hint="eastAsia" w:ascii="仿宋_GB2312" w:hAnsi="宋体" w:cs="宋体"/>
          <w:color w:val="000000"/>
          <w:kern w:val="0"/>
          <w:highlight w:val="none"/>
        </w:rPr>
        <w:t>根据浙江嘉善农村商业银行股份有限公司（以下简称“公司”）《公司章程》及监管部门有关规定，作为第三届董事会独立董事，</w:t>
      </w:r>
      <w:r>
        <w:rPr>
          <w:rFonts w:hint="eastAsia"/>
          <w:highlight w:val="none"/>
        </w:rPr>
        <w:t>202</w:t>
      </w:r>
      <w:r>
        <w:rPr>
          <w:highlight w:val="none"/>
        </w:rPr>
        <w:t>2</w:t>
      </w:r>
      <w:r>
        <w:rPr>
          <w:rFonts w:hint="eastAsia"/>
          <w:highlight w:val="none"/>
        </w:rPr>
        <w:t>年度我们审慎、认真地行使独立董事权利，本着独立、客观和公正的原则，积极出席202</w:t>
      </w:r>
      <w:r>
        <w:rPr>
          <w:highlight w:val="none"/>
        </w:rPr>
        <w:t>2</w:t>
      </w:r>
      <w:r>
        <w:rPr>
          <w:rFonts w:hint="eastAsia"/>
          <w:highlight w:val="none"/>
        </w:rPr>
        <w:t>年的各项会议，认真审议董事会及董事会专门委员会的各项议案，并对相关事项发表独立意见，有效地保证了公司运作的合理性和公平性，切实维护了公司和股东特别是中小股东的利益。现将202</w:t>
      </w:r>
      <w:r>
        <w:rPr>
          <w:highlight w:val="none"/>
        </w:rPr>
        <w:t>2</w:t>
      </w:r>
      <w:r>
        <w:rPr>
          <w:rFonts w:hint="eastAsia"/>
          <w:highlight w:val="none"/>
        </w:rPr>
        <w:t>年度独</w:t>
      </w:r>
      <w:r>
        <w:rPr>
          <w:rFonts w:hint="eastAsia" w:ascii="仿宋_GB2312" w:hAnsi="宋体" w:cs="宋体"/>
          <w:color w:val="000000"/>
          <w:kern w:val="0"/>
          <w:highlight w:val="none"/>
        </w:rPr>
        <w:t>立董事履职情况报告如下：</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黑体" w:hAnsi="黑体" w:eastAsia="黑体" w:cs="黑体"/>
          <w:color w:val="000000"/>
          <w:kern w:val="0"/>
          <w:highlight w:val="none"/>
        </w:rPr>
        <w:t>一、独立董事年度履职概况</w:t>
      </w:r>
    </w:p>
    <w:p>
      <w:pPr>
        <w:spacing w:line="560" w:lineRule="exact"/>
        <w:ind w:firstLine="640" w:firstLineChars="200"/>
        <w:rPr>
          <w:rFonts w:ascii="仿宋_GB2312" w:hAnsi="宋体" w:cs="宋体"/>
          <w:color w:val="000000"/>
          <w:kern w:val="0"/>
          <w:highlight w:val="none"/>
        </w:rPr>
      </w:pPr>
      <w:r>
        <w:rPr>
          <w:rFonts w:hint="eastAsia" w:ascii="仿宋_GB2312" w:hAnsi="宋体" w:cs="宋体"/>
          <w:color w:val="000000"/>
          <w:kern w:val="0"/>
          <w:highlight w:val="none"/>
        </w:rPr>
        <w:t>本年度我们积极参加董事会及专门委会、股东大会等，及时了解公司经营状况和可能产生的经营风险，运用经济、管理、会计、法律等专业知识和实践经验，对公司经营发展出谋献策，谨慎、忠诚、勤勉的履行职务，积极参与审议和决策公司的重大事项，认真到公司现场考察，并对公司的财务报表年度审计、关联交易等一系列重大事项进行了有效的审查和监督，按照有关规定对相关重大事项发表了独立意见。我们在行使职权时，公司相关人员能够做到积极配合，不拒绝、阻碍或隐瞒，未干预我们独立行使职权，对于公司经营运行情况和重大事项进展，公司经营层及财务、审计、董办等部门定期或不定期地与我们保持持续沟通，使我们能及时了解掌握公司动态；对须经董事会决策的事项，均在法定的时间内提前向我们提供相关材料和信息。</w:t>
      </w:r>
      <w:r>
        <w:rPr>
          <w:rFonts w:hint="eastAsia"/>
          <w:highlight w:val="none"/>
        </w:rPr>
        <w:t>202</w:t>
      </w:r>
      <w:r>
        <w:rPr>
          <w:highlight w:val="none"/>
        </w:rPr>
        <w:t>2</w:t>
      </w:r>
      <w:r>
        <w:rPr>
          <w:rFonts w:hint="eastAsia" w:ascii="仿宋_GB2312" w:hAnsi="宋体" w:cs="宋体"/>
          <w:color w:val="000000"/>
          <w:kern w:val="0"/>
          <w:highlight w:val="none"/>
        </w:rPr>
        <w:t>年参加董事会会议情况如下：</w:t>
      </w:r>
    </w:p>
    <w:tbl>
      <w:tblPr>
        <w:tblStyle w:val="3"/>
        <w:tblW w:w="8052" w:type="dxa"/>
        <w:jc w:val="center"/>
        <w:tblLayout w:type="autofit"/>
        <w:tblCellMar>
          <w:top w:w="0" w:type="dxa"/>
          <w:left w:w="108" w:type="dxa"/>
          <w:bottom w:w="0" w:type="dxa"/>
          <w:right w:w="108" w:type="dxa"/>
        </w:tblCellMar>
      </w:tblPr>
      <w:tblGrid>
        <w:gridCol w:w="2112"/>
        <w:gridCol w:w="1606"/>
        <w:gridCol w:w="1454"/>
        <w:gridCol w:w="1400"/>
        <w:gridCol w:w="1480"/>
      </w:tblGrid>
      <w:tr>
        <w:tblPrEx>
          <w:tblCellMar>
            <w:top w:w="0" w:type="dxa"/>
            <w:left w:w="108" w:type="dxa"/>
            <w:bottom w:w="0" w:type="dxa"/>
            <w:right w:w="108" w:type="dxa"/>
          </w:tblCellMar>
        </w:tblPrEx>
        <w:trPr>
          <w:trHeight w:val="696"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姓名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本年度应参加次数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亲自出席次数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委托出席次数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缺席出席</w:t>
            </w:r>
          </w:p>
        </w:tc>
      </w:tr>
      <w:tr>
        <w:tblPrEx>
          <w:tblCellMar>
            <w:top w:w="0" w:type="dxa"/>
            <w:left w:w="108" w:type="dxa"/>
            <w:bottom w:w="0" w:type="dxa"/>
            <w:right w:w="108" w:type="dxa"/>
          </w:tblCellMar>
        </w:tblPrEx>
        <w:trPr>
          <w:trHeight w:val="840"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马俊</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0</w:t>
            </w:r>
          </w:p>
        </w:tc>
      </w:tr>
      <w:tr>
        <w:tblPrEx>
          <w:tblCellMar>
            <w:top w:w="0" w:type="dxa"/>
            <w:left w:w="108" w:type="dxa"/>
            <w:bottom w:w="0" w:type="dxa"/>
            <w:right w:w="108" w:type="dxa"/>
          </w:tblCellMar>
        </w:tblPrEx>
        <w:trPr>
          <w:trHeight w:val="840"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宋体" w:cs="仿宋_GB2312"/>
                <w:color w:val="000000"/>
                <w:highlight w:val="none"/>
              </w:rPr>
            </w:pPr>
            <w:r>
              <w:rPr>
                <w:rFonts w:hint="eastAsia" w:ascii="仿宋_GB2312" w:hAnsi="宋体" w:cs="仿宋_GB2312"/>
                <w:color w:val="000000"/>
                <w:kern w:val="0"/>
                <w:highlight w:val="none"/>
                <w:lang w:bidi="ar"/>
              </w:rPr>
              <w:t>陆敏凤</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hint="eastAsia" w:eastAsia="宋体"/>
                <w:color w:val="000000"/>
                <w:kern w:val="0"/>
                <w:highlight w:val="none"/>
                <w:lang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highlight w:val="none"/>
              </w:rPr>
            </w:pPr>
            <w:r>
              <w:rPr>
                <w:rFonts w:eastAsia="宋体"/>
                <w:color w:val="000000"/>
                <w:kern w:val="0"/>
                <w:highlight w:val="none"/>
                <w:lang w:bidi="ar"/>
              </w:rPr>
              <w:t>0</w:t>
            </w:r>
          </w:p>
        </w:tc>
      </w:tr>
    </w:tbl>
    <w:p>
      <w:pPr>
        <w:spacing w:line="560" w:lineRule="exact"/>
        <w:ind w:firstLine="640" w:firstLineChars="200"/>
        <w:rPr>
          <w:rFonts w:ascii="黑体" w:hAnsi="黑体" w:eastAsia="黑体" w:cs="黑体"/>
          <w:color w:val="000000"/>
          <w:kern w:val="0"/>
          <w:highlight w:val="none"/>
        </w:rPr>
      </w:pPr>
      <w:r>
        <w:rPr>
          <w:rFonts w:hint="eastAsia" w:ascii="黑体" w:hAnsi="黑体" w:eastAsia="黑体" w:cs="黑体"/>
          <w:color w:val="000000"/>
          <w:kern w:val="0"/>
          <w:highlight w:val="none"/>
        </w:rPr>
        <w:t>二、独立董事年度履职重点关注事项的情况</w:t>
      </w:r>
    </w:p>
    <w:p>
      <w:pPr>
        <w:spacing w:line="560" w:lineRule="exact"/>
        <w:ind w:firstLine="600"/>
        <w:rPr>
          <w:rFonts w:ascii="仿宋_GB2312" w:hAnsi="宋体" w:cs="宋体"/>
          <w:color w:val="000000"/>
          <w:kern w:val="0"/>
          <w:highlight w:val="none"/>
        </w:rPr>
      </w:pPr>
      <w:r>
        <w:rPr>
          <w:rFonts w:hint="eastAsia" w:ascii="楷体_GB2312" w:hAnsi="宋体" w:eastAsia="楷体_GB2312"/>
          <w:highlight w:val="none"/>
        </w:rPr>
        <w:t>（一）关联交易情况</w:t>
      </w:r>
      <w:r>
        <w:rPr>
          <w:rFonts w:hint="eastAsia" w:ascii="仿宋_GB2312" w:hAnsi="宋体" w:cs="宋体"/>
          <w:color w:val="000000"/>
          <w:kern w:val="0"/>
          <w:highlight w:val="none"/>
        </w:rPr>
        <w:t xml:space="preserve"> </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202</w:t>
      </w:r>
      <w:r>
        <w:rPr>
          <w:highlight w:val="none"/>
        </w:rPr>
        <w:t>2</w:t>
      </w:r>
      <w:r>
        <w:rPr>
          <w:rFonts w:hint="eastAsia"/>
          <w:highlight w:val="none"/>
        </w:rPr>
        <w:t>年度涉及关联交易事项的表决程序合法，相关审议、披露程序符合国家有关法律、法规及公司章程的规定。我们认为202</w:t>
      </w:r>
      <w:r>
        <w:rPr>
          <w:highlight w:val="none"/>
        </w:rPr>
        <w:t>2</w:t>
      </w:r>
      <w:r>
        <w:rPr>
          <w:rFonts w:hint="eastAsia"/>
          <w:highlight w:val="none"/>
        </w:rPr>
        <w:t>年度涉及的关联交易符合公司和全体股东的利益，未损害非关联股东的利益。</w:t>
      </w:r>
      <w:r>
        <w:rPr>
          <w:rFonts w:hint="eastAsia"/>
          <w:highlight w:val="none"/>
        </w:rPr>
        <w:br w:type="textWrapping"/>
      </w:r>
      <w:r>
        <w:rPr>
          <w:rFonts w:hint="eastAsia" w:ascii="仿宋_GB2312" w:hAnsi="宋体" w:cs="宋体"/>
          <w:color w:val="000000"/>
          <w:kern w:val="0"/>
          <w:highlight w:val="none"/>
        </w:rPr>
        <w:t xml:space="preserve">   </w:t>
      </w:r>
      <w:r>
        <w:rPr>
          <w:rFonts w:hint="eastAsia" w:ascii="楷体_GB2312" w:hAnsi="宋体" w:eastAsia="楷体_GB2312"/>
          <w:highlight w:val="none"/>
        </w:rPr>
        <w:t xml:space="preserve"> （二）对外担保及资金占用情况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202</w:t>
      </w:r>
      <w:r>
        <w:rPr>
          <w:highlight w:val="none"/>
        </w:rPr>
        <w:t>2</w:t>
      </w:r>
      <w:r>
        <w:rPr>
          <w:rFonts w:hint="eastAsia" w:ascii="仿宋_GB2312" w:hAnsi="宋体" w:cs="宋体"/>
          <w:color w:val="000000"/>
          <w:kern w:val="0"/>
          <w:highlight w:val="none"/>
        </w:rPr>
        <w:t>年度，公司向农发银行嘉善县支行出具了三份借款保函，具体为</w:t>
      </w:r>
      <w:r>
        <w:rPr>
          <w:rFonts w:hint="eastAsia"/>
          <w:highlight w:val="none"/>
        </w:rPr>
        <w:t>：1、嘉善宏联食品有限公司800万元贷款，期限2022年5月27日-2023年5月26日。2、浙江凌龙智尚科技股份有限公司950万元贷款，期限2022年7月29日-2023年7月28日。3、嘉兴碧云花园有限公司900万元贷款，期限2022年12月2日-2023年11月22日</w:t>
      </w:r>
      <w:r>
        <w:rPr>
          <w:rFonts w:hint="eastAsia" w:ascii="仿宋_GB2312" w:hAnsi="宋体" w:cs="宋体"/>
          <w:color w:val="000000"/>
          <w:kern w:val="0"/>
          <w:highlight w:val="none"/>
        </w:rPr>
        <w:t>。</w:t>
      </w:r>
    </w:p>
    <w:p>
      <w:pPr>
        <w:spacing w:line="560" w:lineRule="exact"/>
        <w:ind w:firstLine="320" w:firstLineChars="100"/>
        <w:rPr>
          <w:rFonts w:ascii="仿宋_GB2312" w:hAnsi="宋体" w:cs="宋体"/>
          <w:color w:val="000000"/>
          <w:kern w:val="0"/>
          <w:highlight w:val="none"/>
        </w:rPr>
      </w:pPr>
      <w:r>
        <w:rPr>
          <w:rFonts w:hint="eastAsia" w:ascii="仿宋_GB2312" w:hAnsi="宋体" w:cs="宋体"/>
          <w:color w:val="000000"/>
          <w:kern w:val="0"/>
          <w:highlight w:val="none"/>
        </w:rPr>
        <w:t xml:space="preserve">  </w:t>
      </w:r>
      <w:r>
        <w:rPr>
          <w:rFonts w:hint="eastAsia" w:ascii="楷体_GB2312" w:hAnsi="宋体" w:eastAsia="楷体_GB2312"/>
          <w:highlight w:val="none"/>
        </w:rPr>
        <w:t>（三）聘任或者变更会计师事务所情况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报告期内，</w:t>
      </w:r>
      <w:r>
        <w:rPr>
          <w:rFonts w:hint="eastAsia"/>
          <w:highlight w:val="none"/>
        </w:rPr>
        <w:t>公司变更会计师事务所。经三届4次董事会提出、2021年度股东大会表决通过，解聘浙江同方会计师事务所，聘请浙江中瑞唯斯达会计师事</w:t>
      </w:r>
      <w:r>
        <w:rPr>
          <w:rFonts w:hint="eastAsia" w:ascii="仿宋_GB2312" w:hAnsi="宋体" w:cs="宋体"/>
          <w:color w:val="000000"/>
          <w:kern w:val="0"/>
          <w:highlight w:val="none"/>
        </w:rPr>
        <w:t>务所作为公司</w:t>
      </w:r>
      <w:r>
        <w:rPr>
          <w:rFonts w:hint="eastAsia"/>
          <w:highlight w:val="none"/>
        </w:rPr>
        <w:t>202</w:t>
      </w:r>
      <w:r>
        <w:rPr>
          <w:highlight w:val="none"/>
        </w:rPr>
        <w:t>2</w:t>
      </w:r>
      <w:r>
        <w:rPr>
          <w:rFonts w:hint="eastAsia"/>
          <w:highlight w:val="none"/>
        </w:rPr>
        <w:t>-2024</w:t>
      </w:r>
      <w:r>
        <w:rPr>
          <w:rFonts w:hint="eastAsia" w:ascii="仿宋_GB2312" w:hAnsi="宋体" w:cs="宋体"/>
          <w:color w:val="000000"/>
          <w:kern w:val="0"/>
          <w:highlight w:val="none"/>
        </w:rPr>
        <w:t>年度年报审计机构。</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楷体_GB2312" w:hAnsi="宋体" w:eastAsia="楷体_GB2312"/>
          <w:highlight w:val="none"/>
        </w:rPr>
        <w:t>（四）现金分红及其他投资者回报情况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我们对</w:t>
      </w:r>
      <w:r>
        <w:rPr>
          <w:rFonts w:hint="eastAsia"/>
          <w:highlight w:val="none"/>
        </w:rPr>
        <w:t>2022</w:t>
      </w:r>
      <w:r>
        <w:rPr>
          <w:rFonts w:hint="eastAsia" w:ascii="仿宋_GB2312" w:hAnsi="宋体" w:cs="宋体"/>
          <w:color w:val="000000"/>
          <w:kern w:val="0"/>
          <w:highlight w:val="none"/>
        </w:rPr>
        <w:t>年度利润分配方案进行了审议，本年度向投资者分配利润金</w:t>
      </w:r>
      <w:r>
        <w:rPr>
          <w:rFonts w:hint="eastAsia"/>
          <w:highlight w:val="none"/>
        </w:rPr>
        <w:t>额93,757,97</w:t>
      </w:r>
      <w:r>
        <w:rPr>
          <w:highlight w:val="none"/>
        </w:rPr>
        <w:t>1</w:t>
      </w:r>
      <w:r>
        <w:rPr>
          <w:rFonts w:hint="eastAsia"/>
          <w:highlight w:val="none"/>
        </w:rPr>
        <w:t>.88元，分红率为14%，其中转增5%（不足1元四舍五入）、现</w:t>
      </w:r>
      <w:r>
        <w:rPr>
          <w:rFonts w:hint="eastAsia" w:ascii="仿宋_GB2312" w:hAnsi="宋体" w:cs="宋体"/>
          <w:color w:val="000000"/>
          <w:kern w:val="0"/>
          <w:highlight w:val="none"/>
        </w:rPr>
        <w:t>金分</w:t>
      </w:r>
      <w:r>
        <w:rPr>
          <w:rFonts w:hint="eastAsia"/>
          <w:highlight w:val="none"/>
        </w:rPr>
        <w:t>红9%。</w:t>
      </w:r>
      <w:r>
        <w:rPr>
          <w:rFonts w:hint="eastAsia" w:ascii="仿宋_GB2312" w:hAnsi="宋体" w:cs="宋体"/>
          <w:color w:val="000000"/>
          <w:kern w:val="0"/>
          <w:highlight w:val="none"/>
        </w:rPr>
        <w:t xml:space="preserve">公司本次利润分配预案符合《公司章程》及监管有关要求,充分考虑了股东利益、公司目前经营状况、资金需求及未来发展等各方面因素,维护了所有股东特别是中小股东的利益。       </w:t>
      </w:r>
    </w:p>
    <w:p>
      <w:pPr>
        <w:snapToGrid w:val="0"/>
        <w:spacing w:line="560" w:lineRule="exact"/>
        <w:ind w:firstLine="640" w:firstLineChars="200"/>
        <w:rPr>
          <w:rFonts w:ascii="仿宋_GB2312" w:hAnsi="宋体" w:cs="宋体"/>
          <w:color w:val="000000"/>
          <w:kern w:val="0"/>
          <w:highlight w:val="none"/>
        </w:rPr>
      </w:pPr>
      <w:r>
        <w:rPr>
          <w:rFonts w:hint="eastAsia" w:ascii="楷体_GB2312" w:hAnsi="宋体" w:eastAsia="楷体_GB2312"/>
          <w:highlight w:val="none"/>
        </w:rPr>
        <w:t>（五）股东承诺履行情况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仿宋_GB2312"/>
          <w:highlight w:val="none"/>
        </w:rPr>
        <w:t>根据《中国银保监会办公厅关于进一步加强银行保险机构股东承诺管理有关事项的通知》要求，公司能认真梳理，细致制定声明类、尽责类和合规类承诺书文本，</w:t>
      </w:r>
      <w:r>
        <w:rPr>
          <w:rFonts w:hint="eastAsia"/>
          <w:highlight w:val="none"/>
        </w:rPr>
        <w:t>全体</w:t>
      </w:r>
      <w:r>
        <w:rPr>
          <w:rFonts w:hint="eastAsia" w:ascii="仿宋_GB2312"/>
          <w:highlight w:val="none"/>
        </w:rPr>
        <w:t>主要股东均已签订承诺书，建立承诺书档案保管机制，同时将承诺履行行为、违规惩戒措施等写入《公司章程》。</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楷体_GB2312" w:hAnsi="宋体" w:eastAsia="楷体_GB2312"/>
          <w:highlight w:val="none"/>
        </w:rPr>
        <w:t xml:space="preserve">   （六）信息披露的执行情况</w:t>
      </w:r>
    </w:p>
    <w:p>
      <w:pPr>
        <w:snapToGrid w:val="0"/>
        <w:spacing w:line="560" w:lineRule="exact"/>
        <w:ind w:firstLine="640" w:firstLineChars="200"/>
        <w:rPr>
          <w:rFonts w:ascii="仿宋_GB2312" w:hAnsi="宋体" w:cs="宋体"/>
          <w:color w:val="000000"/>
          <w:kern w:val="0"/>
          <w:highlight w:val="none"/>
        </w:rPr>
      </w:pPr>
      <w:r>
        <w:rPr>
          <w:rFonts w:hint="eastAsia" w:ascii="仿宋_GB2312" w:hAnsi="宋体" w:cs="宋体"/>
          <w:color w:val="000000"/>
          <w:kern w:val="0"/>
          <w:highlight w:val="none"/>
        </w:rPr>
        <w:t>自</w:t>
      </w:r>
      <w:r>
        <w:rPr>
          <w:rFonts w:hint="eastAsia"/>
          <w:highlight w:val="none"/>
        </w:rPr>
        <w:t>2020</w:t>
      </w:r>
      <w:r>
        <w:rPr>
          <w:rFonts w:hint="eastAsia" w:ascii="仿宋_GB2312" w:hAnsi="宋体" w:cs="宋体"/>
          <w:color w:val="000000"/>
          <w:kern w:val="0"/>
          <w:highlight w:val="none"/>
        </w:rPr>
        <w:t>年嘉兴银保监分局开展公司治理专项现场检查后，近年来，公司更加重视重大事项的对外披露工作，在</w:t>
      </w:r>
      <w:r>
        <w:rPr>
          <w:rFonts w:hint="eastAsia"/>
          <w:highlight w:val="none"/>
        </w:rPr>
        <w:t>4</w:t>
      </w:r>
      <w:r>
        <w:rPr>
          <w:rFonts w:hint="eastAsia" w:ascii="仿宋_GB2312" w:hAnsi="宋体" w:cs="宋体"/>
          <w:color w:val="000000"/>
          <w:kern w:val="0"/>
          <w:highlight w:val="none"/>
        </w:rPr>
        <w:t>月底前发布《</w:t>
      </w:r>
      <w:r>
        <w:rPr>
          <w:rFonts w:hint="eastAsia"/>
          <w:highlight w:val="none"/>
        </w:rPr>
        <w:t>2021</w:t>
      </w:r>
      <w:r>
        <w:rPr>
          <w:rFonts w:hint="eastAsia" w:ascii="仿宋_GB2312" w:hAnsi="宋体" w:cs="宋体"/>
          <w:color w:val="000000"/>
          <w:kern w:val="0"/>
          <w:highlight w:val="none"/>
        </w:rPr>
        <w:t>年度信息披露报告》，并附带会计师事务所出具的审计年报、独立董事工作情况报告等规定内容。年内就已质押股权被司法冻结、高管人员任职资格核准、一般类关联交易等信息在官网合计披</w:t>
      </w:r>
      <w:r>
        <w:rPr>
          <w:rFonts w:hint="eastAsia"/>
          <w:highlight w:val="none"/>
        </w:rPr>
        <w:t>露8</w:t>
      </w:r>
      <w:r>
        <w:rPr>
          <w:rFonts w:hint="eastAsia" w:ascii="仿宋_GB2312" w:hAnsi="宋体" w:cs="宋体"/>
          <w:color w:val="000000"/>
          <w:kern w:val="0"/>
          <w:highlight w:val="none"/>
        </w:rPr>
        <w:t>次，切实保护股东合法权益。</w:t>
      </w:r>
      <w:r>
        <w:rPr>
          <w:rFonts w:hint="eastAsia" w:ascii="仿宋_GB2312" w:hAnsi="宋体" w:cs="宋体"/>
          <w:color w:val="FF0000"/>
          <w:kern w:val="0"/>
          <w:highlight w:val="none"/>
        </w:rPr>
        <w:br w:type="textWrapping"/>
      </w:r>
      <w:r>
        <w:rPr>
          <w:rFonts w:hint="eastAsia" w:ascii="仿宋_GB2312" w:hAnsi="宋体" w:cs="宋体"/>
          <w:color w:val="FF0000"/>
          <w:kern w:val="0"/>
          <w:highlight w:val="none"/>
        </w:rPr>
        <w:t xml:space="preserve"> </w:t>
      </w:r>
      <w:r>
        <w:rPr>
          <w:rFonts w:hint="eastAsia" w:ascii="仿宋_GB2312" w:hAnsi="宋体" w:cs="宋体"/>
          <w:color w:val="000000"/>
          <w:kern w:val="0"/>
          <w:highlight w:val="none"/>
        </w:rPr>
        <w:t xml:space="preserve">  </w:t>
      </w:r>
      <w:r>
        <w:rPr>
          <w:rFonts w:hint="eastAsia" w:ascii="楷体_GB2312" w:hAnsi="宋体" w:eastAsia="楷体_GB2312"/>
          <w:highlight w:val="none"/>
        </w:rPr>
        <w:t xml:space="preserve"> （七）保护投资者权益方面所做的工作</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1.202</w:t>
      </w:r>
      <w:r>
        <w:rPr>
          <w:highlight w:val="none"/>
        </w:rPr>
        <w:t>2</w:t>
      </w:r>
      <w:r>
        <w:rPr>
          <w:rFonts w:hint="eastAsia" w:ascii="仿宋_GB2312" w:hAnsi="宋体" w:cs="宋体"/>
          <w:color w:val="000000"/>
          <w:kern w:val="0"/>
          <w:highlight w:val="none"/>
        </w:rPr>
        <w:t>年度，我们有效地履行了独立董事的职责，对年内</w:t>
      </w:r>
      <w:r>
        <w:rPr>
          <w:highlight w:val="none"/>
        </w:rPr>
        <w:t>5</w:t>
      </w:r>
      <w:r>
        <w:rPr>
          <w:rFonts w:hint="eastAsia" w:ascii="仿宋_GB2312" w:hAnsi="宋体" w:cs="宋体"/>
          <w:color w:val="000000"/>
          <w:kern w:val="0"/>
          <w:highlight w:val="none"/>
        </w:rPr>
        <w:t>次董事会审议的各个事项，事前对所提供的议案材料和有关介绍进行认真、充分的审核，在此基础上，独立、客观、审慎地行使表决权。</w:t>
      </w:r>
      <w:r>
        <w:rPr>
          <w:rFonts w:hint="eastAsia" w:ascii="仿宋_GB2312" w:hAnsi="Calibri" w:cs="Calibri"/>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 xml:space="preserve"> 2.</w:t>
      </w:r>
      <w:r>
        <w:rPr>
          <w:rFonts w:hint="eastAsia" w:ascii="仿宋_GB2312" w:hAnsi="宋体" w:cs="宋体"/>
          <w:color w:val="000000"/>
          <w:kern w:val="0"/>
          <w:highlight w:val="none"/>
        </w:rPr>
        <w:t>对公司的定期报告及其他事项认真审议，提出客观、公正的意见和建议，监督公司信息披露的真实、准确、及时、完整，切实保护股东利益。</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3.</w:t>
      </w:r>
      <w:r>
        <w:rPr>
          <w:rFonts w:hint="eastAsia" w:ascii="仿宋_GB2312" w:hAnsi="宋体" w:cs="宋体"/>
          <w:color w:val="000000"/>
          <w:kern w:val="0"/>
          <w:highlight w:val="none"/>
        </w:rPr>
        <w:t>积极学习相关法律法规和规章制度，尤其加强对银保监部门颁布的规范公司法人治理相关法规的认识和理解，对公司治理、战略规划、全面风险管控等方面提出了意见和建议，得到了公司的积极贯彻和执行。</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楷体_GB2312" w:hAnsi="宋体" w:eastAsia="楷体_GB2312"/>
          <w:highlight w:val="none"/>
        </w:rPr>
        <w:t xml:space="preserve"> （八）董事会下属专门委员会的运作情况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公司董事会下属</w:t>
      </w:r>
      <w:r>
        <w:rPr>
          <w:rFonts w:hint="eastAsia"/>
          <w:highlight w:val="none"/>
        </w:rPr>
        <w:t>6</w:t>
      </w:r>
      <w:r>
        <w:rPr>
          <w:rFonts w:hint="eastAsia" w:ascii="仿宋_GB2312" w:hAnsi="宋体" w:cs="宋体"/>
          <w:color w:val="000000"/>
          <w:kern w:val="0"/>
          <w:highlight w:val="none"/>
        </w:rPr>
        <w:t>个专门委员会均能按照各自议事规则顺利开展工作。董事会各专门委员会会议的召集、召开符合法定程序，委员对所有议案均按照程序审慎审议，表决结果合法有效。</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黑体" w:hAnsi="黑体" w:eastAsia="黑体" w:cs="黑体"/>
          <w:color w:val="000000"/>
          <w:kern w:val="0"/>
          <w:highlight w:val="none"/>
        </w:rPr>
        <w:t>三、其他工作情况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1.202</w:t>
      </w:r>
      <w:r>
        <w:rPr>
          <w:highlight w:val="none"/>
        </w:rPr>
        <w:t>2</w:t>
      </w:r>
      <w:r>
        <w:rPr>
          <w:rFonts w:hint="eastAsia" w:ascii="仿宋_GB2312" w:hAnsi="宋体" w:cs="宋体"/>
          <w:color w:val="000000"/>
          <w:kern w:val="0"/>
          <w:highlight w:val="none"/>
        </w:rPr>
        <w:t>年度，没有发生独立董事提议召开董事会的情况。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2.202</w:t>
      </w:r>
      <w:r>
        <w:rPr>
          <w:highlight w:val="none"/>
        </w:rPr>
        <w:t>2</w:t>
      </w:r>
      <w:r>
        <w:rPr>
          <w:rFonts w:hint="eastAsia" w:ascii="仿宋_GB2312" w:hAnsi="宋体" w:cs="宋体"/>
          <w:color w:val="000000"/>
          <w:kern w:val="0"/>
          <w:highlight w:val="none"/>
        </w:rPr>
        <w:t>年度，没有发生独立董事独立聘请外部审计机构和咨询机构的情况。</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ascii="黑体" w:hAnsi="黑体" w:eastAsia="黑体" w:cs="黑体"/>
          <w:color w:val="000000"/>
          <w:kern w:val="0"/>
          <w:highlight w:val="none"/>
        </w:rPr>
        <w:t xml:space="preserve">   四、总体评价及建议</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 xml:space="preserve"> 2023</w:t>
      </w:r>
      <w:r>
        <w:rPr>
          <w:rFonts w:hint="eastAsia" w:ascii="仿宋_GB2312" w:hAnsi="宋体" w:cs="宋体"/>
          <w:color w:val="000000"/>
          <w:kern w:val="0"/>
          <w:highlight w:val="none"/>
        </w:rPr>
        <w:t>年，我们将继续本着诚信与勤勉的精神，久久为功学习《公司治理准则》《关联交易管理办法》《大股东行为监管办法（试行）》《董事监事履职评价办法（试行）》等一批监管规定，结合自身专业优势，忠实履行独立董事义务，促进公司规范运作，加强同董事会、监事会、经营管理层之间的沟通交流，增强公司董事会的决策能力和领导水平，维护好公司整体利益和全体股东的合法权益。</w:t>
      </w:r>
    </w:p>
    <w:p>
      <w:pPr>
        <w:snapToGrid w:val="0"/>
        <w:spacing w:line="560" w:lineRule="exact"/>
        <w:ind w:firstLine="640" w:firstLineChars="200"/>
        <w:rPr>
          <w:rFonts w:ascii="仿宋_GB2312" w:hAnsi="宋体" w:cs="宋体"/>
          <w:color w:val="000000"/>
          <w:kern w:val="0"/>
          <w:highlight w:val="none"/>
        </w:rPr>
      </w:pPr>
      <w:r>
        <w:rPr>
          <w:rFonts w:hint="eastAsia" w:ascii="仿宋_GB2312" w:hAnsi="宋体" w:cs="宋体"/>
          <w:color w:val="000000"/>
          <w:kern w:val="0"/>
          <w:highlight w:val="none"/>
        </w:rPr>
        <w:t xml:space="preserve">特此报告。    </w:t>
      </w:r>
    </w:p>
    <w:p>
      <w:pPr>
        <w:spacing w:line="560" w:lineRule="exact"/>
        <w:ind w:firstLine="1440" w:firstLineChars="450"/>
        <w:rPr>
          <w:rFonts w:ascii="仿宋_GB2312" w:hAnsi="宋体" w:cs="宋体"/>
          <w:color w:val="000000"/>
          <w:kern w:val="0"/>
          <w:highlight w:val="none"/>
        </w:rPr>
      </w:pPr>
      <w:r>
        <w:rPr>
          <w:rFonts w:hint="eastAsia" w:ascii="仿宋_GB2312" w:hAnsi="宋体" w:cs="宋体"/>
          <w:color w:val="000000"/>
          <w:kern w:val="0"/>
          <w:highlight w:val="none"/>
        </w:rPr>
        <w:t xml:space="preserve"> </w:t>
      </w:r>
    </w:p>
    <w:p>
      <w:pPr>
        <w:spacing w:line="560" w:lineRule="exact"/>
        <w:ind w:firstLine="1440" w:firstLineChars="450"/>
        <w:jc w:val="right"/>
        <w:rPr>
          <w:rFonts w:ascii="仿宋_GB2312"/>
          <w:highlight w:val="none"/>
        </w:rPr>
      </w:pPr>
      <w:r>
        <w:rPr>
          <w:rFonts w:hint="eastAsia" w:ascii="仿宋_GB2312" w:hAnsi="华文中宋" w:cs="宋体"/>
          <w:kern w:val="0"/>
          <w:highlight w:val="none"/>
        </w:rPr>
        <w:t>浙江嘉善农村商业银行</w:t>
      </w:r>
      <w:r>
        <w:rPr>
          <w:rFonts w:hint="eastAsia" w:ascii="仿宋_GB2312" w:hAnsi="宋体" w:cs="宋体"/>
          <w:color w:val="000000"/>
          <w:kern w:val="0"/>
          <w:highlight w:val="none"/>
        </w:rPr>
        <w:t>股份有限公司独立董事</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ascii="仿宋_GB2312" w:hAnsi="宋体" w:cs="宋体"/>
          <w:color w:val="000000"/>
          <w:kern w:val="0"/>
          <w:highlight w:val="none"/>
        </w:rPr>
        <w:t xml:space="preserve">  </w:t>
      </w:r>
      <w:r>
        <w:rPr>
          <w:rFonts w:hint="eastAsia" w:ascii="仿宋_GB2312" w:hAnsi="宋体" w:cs="宋体"/>
          <w:color w:val="000000"/>
          <w:kern w:val="0"/>
          <w:highlight w:val="none"/>
        </w:rPr>
        <w:t>马俊、陆敏凤</w:t>
      </w:r>
      <w:r>
        <w:rPr>
          <w:rFonts w:hint="eastAsia" w:ascii="仿宋_GB2312" w:hAnsi="宋体" w:cs="宋体"/>
          <w:color w:val="000000"/>
          <w:kern w:val="0"/>
          <w:highlight w:val="none"/>
        </w:rPr>
        <w:br w:type="textWrapping"/>
      </w:r>
      <w:r>
        <w:rPr>
          <w:rFonts w:hint="eastAsia" w:ascii="仿宋_GB2312" w:hAnsi="宋体" w:cs="宋体"/>
          <w:color w:val="000000"/>
          <w:kern w:val="0"/>
          <w:highlight w:val="none"/>
        </w:rPr>
        <w:t xml:space="preserve">                        </w:t>
      </w:r>
      <w:r>
        <w:rPr>
          <w:rFonts w:hint="eastAsia"/>
          <w:highlight w:val="none"/>
        </w:rPr>
        <w:t>二〇二三年四月</w:t>
      </w:r>
      <w:r>
        <w:rPr>
          <w:rFonts w:hint="eastAsia"/>
          <w:highlight w:val="none"/>
          <w:lang w:val="en-US" w:eastAsia="zh-CN"/>
        </w:rPr>
        <w:t>二十</w:t>
      </w:r>
      <w:bookmarkStart w:id="0" w:name="_GoBack"/>
      <w:bookmarkEnd w:id="0"/>
      <w:r>
        <w:rPr>
          <w:rFonts w:hint="eastAsia"/>
          <w:highlight w:val="none"/>
        </w:rPr>
        <w:t>四日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4769"/>
    <w:rsid w:val="07DE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2023-04-25T03:12:00Z</dcterms:created>
  <dc:creator>夏伟杰</dc:creator>
  <cp:lastModifiedBy>夏伟杰</cp:lastModifiedBy>
  <dcterms:modified xsi:type="dcterms:W3CDTF">2023-04-25T03:12:59Z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