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6D" w:rsidRDefault="0030176D" w:rsidP="00490F08">
      <w:pPr>
        <w:pStyle w:val="a3"/>
        <w:rPr>
          <w:sz w:val="40"/>
          <w:szCs w:val="44"/>
        </w:rPr>
      </w:pPr>
      <w:r>
        <w:rPr>
          <w:rFonts w:hint="eastAsia"/>
        </w:rPr>
        <w:t>浙江嘉善农村商业银行股份有限公司理财产品协议</w:t>
      </w:r>
    </w:p>
    <w:p w:rsidR="0030176D" w:rsidRDefault="0030176D">
      <w:pPr>
        <w:spacing w:line="400" w:lineRule="exact"/>
        <w:jc w:val="center"/>
        <w:rPr>
          <w:rFonts w:asciiTheme="minorEastAsia" w:hAnsiTheme="minorEastAsia" w:cs="楷体_GB2312"/>
          <w:sz w:val="22"/>
          <w:szCs w:val="28"/>
        </w:rPr>
      </w:pPr>
    </w:p>
    <w:p w:rsidR="0030176D" w:rsidRDefault="0030176D">
      <w:pPr>
        <w:spacing w:line="400" w:lineRule="exact"/>
        <w:ind w:firstLineChars="200" w:firstLine="422"/>
        <w:rPr>
          <w:rFonts w:asciiTheme="minorEastAsia" w:hAnsiTheme="minorEastAsia" w:cs="楷体_GB2312"/>
          <w:sz w:val="22"/>
          <w:szCs w:val="28"/>
        </w:rPr>
      </w:pPr>
      <w:r>
        <w:rPr>
          <w:rFonts w:asciiTheme="minorEastAsia" w:hAnsiTheme="minorEastAsia" w:hint="eastAsia"/>
          <w:b/>
          <w:bCs/>
        </w:rPr>
        <w:t>《嘉善农商银行“丰收·善盈”</w:t>
      </w:r>
      <w:r w:rsidRPr="007F76B8">
        <w:rPr>
          <w:rFonts w:asciiTheme="minorEastAsia" w:hAnsiTheme="minorEastAsia" w:hint="eastAsia"/>
          <w:b/>
          <w:bCs/>
          <w:noProof/>
        </w:rPr>
        <w:t>2023年第147期</w:t>
      </w:r>
      <w:r>
        <w:rPr>
          <w:rFonts w:asciiTheme="minorEastAsia" w:hAnsiTheme="minorEastAsia" w:hint="eastAsia"/>
          <w:b/>
          <w:bCs/>
        </w:rPr>
        <w:t>净值型封闭式理财产品产品揭示书》、《嘉善农商银行“丰收·善盈”</w:t>
      </w:r>
      <w:r w:rsidRPr="007F76B8">
        <w:rPr>
          <w:rFonts w:asciiTheme="minorEastAsia" w:hAnsiTheme="minorEastAsia" w:hint="eastAsia"/>
          <w:b/>
          <w:bCs/>
          <w:noProof/>
        </w:rPr>
        <w:t>2023年第147期</w:t>
      </w:r>
      <w:r>
        <w:rPr>
          <w:rFonts w:asciiTheme="minorEastAsia" w:hAnsiTheme="minorEastAsia" w:hint="eastAsia"/>
          <w:b/>
          <w:bCs/>
        </w:rPr>
        <w:t>净值型封闭式理财产品权益须知》、《嘉善农商银行“丰收·善盈”</w:t>
      </w:r>
      <w:r w:rsidRPr="007F76B8">
        <w:rPr>
          <w:rFonts w:asciiTheme="minorEastAsia" w:hAnsiTheme="minorEastAsia" w:hint="eastAsia"/>
          <w:b/>
          <w:bCs/>
          <w:noProof/>
        </w:rPr>
        <w:t>2023年第147期</w:t>
      </w:r>
      <w:r>
        <w:rPr>
          <w:rFonts w:asciiTheme="minorEastAsia" w:hAnsiTheme="minorEastAsia" w:hint="eastAsia"/>
          <w:b/>
          <w:bCs/>
        </w:rPr>
        <w:t>净值型封闭式理财产品产品说明书》及《嘉善农商银行“丰收·善盈”</w:t>
      </w:r>
      <w:r w:rsidRPr="007F76B8">
        <w:rPr>
          <w:rFonts w:asciiTheme="minorEastAsia" w:hAnsiTheme="minorEastAsia" w:hint="eastAsia"/>
          <w:b/>
          <w:bCs/>
          <w:noProof/>
        </w:rPr>
        <w:t>2023年第147期</w:t>
      </w:r>
      <w:r>
        <w:rPr>
          <w:rFonts w:asciiTheme="minorEastAsia" w:hAnsiTheme="minorEastAsia" w:hint="eastAsia"/>
          <w:b/>
          <w:bCs/>
        </w:rPr>
        <w:t>净值型封闭式理财产品</w:t>
      </w:r>
      <w:r>
        <w:rPr>
          <w:rFonts w:asciiTheme="minorEastAsia" w:hAnsiTheme="minorEastAsia" w:cs="楷体_GB2312" w:hint="eastAsia"/>
          <w:b/>
          <w:color w:val="000000"/>
          <w:sz w:val="22"/>
          <w:szCs w:val="28"/>
        </w:rPr>
        <w:t>产品协议</w:t>
      </w:r>
      <w:r>
        <w:rPr>
          <w:rFonts w:asciiTheme="minorEastAsia" w:hAnsiTheme="minorEastAsia" w:hint="eastAsia"/>
          <w:b/>
          <w:bCs/>
        </w:rPr>
        <w:t>》</w:t>
      </w:r>
      <w:r>
        <w:rPr>
          <w:rFonts w:asciiTheme="minorEastAsia" w:hAnsiTheme="minorEastAsia" w:cs="楷体_GB2312" w:hint="eastAsia"/>
          <w:sz w:val="22"/>
          <w:szCs w:val="28"/>
        </w:rPr>
        <w:t>共同构成甲、乙双方之间的理财产品交易协议（以下简称“本协议”）。</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根据相关法律法规和监管规定，甲乙双方经友好协商，本着平等自愿、诚实信用的原则，就甲方向乙方购买人民币理财产品，达成协议如下：</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一、</w:t>
      </w:r>
      <w:r>
        <w:rPr>
          <w:rFonts w:asciiTheme="minorEastAsia" w:hAnsiTheme="minorEastAsia" w:hint="eastAsia"/>
          <w:b/>
          <w:bCs/>
        </w:rPr>
        <w:t>《嘉善农商银行“丰收·善盈”</w:t>
      </w:r>
      <w:r w:rsidRPr="007F76B8">
        <w:rPr>
          <w:rFonts w:asciiTheme="minorEastAsia" w:hAnsiTheme="minorEastAsia" w:hint="eastAsia"/>
          <w:b/>
          <w:bCs/>
          <w:noProof/>
        </w:rPr>
        <w:t>2023年第147期</w:t>
      </w:r>
      <w:r>
        <w:rPr>
          <w:rFonts w:asciiTheme="minorEastAsia" w:hAnsiTheme="minorEastAsia" w:hint="eastAsia"/>
          <w:b/>
          <w:bCs/>
        </w:rPr>
        <w:t>净值型封闭式理财产品产品揭示书》、《嘉善农商银行“丰收·善盈”</w:t>
      </w:r>
      <w:r w:rsidRPr="007F76B8">
        <w:rPr>
          <w:rFonts w:asciiTheme="minorEastAsia" w:hAnsiTheme="minorEastAsia" w:hint="eastAsia"/>
          <w:b/>
          <w:bCs/>
          <w:noProof/>
        </w:rPr>
        <w:t>2023年第147期</w:t>
      </w:r>
      <w:r>
        <w:rPr>
          <w:rFonts w:asciiTheme="minorEastAsia" w:hAnsiTheme="minorEastAsia" w:hint="eastAsia"/>
          <w:b/>
          <w:bCs/>
        </w:rPr>
        <w:t>净值型封闭式理财产品权益须知》、《嘉善农商银行“丰收·善盈”</w:t>
      </w:r>
      <w:r w:rsidRPr="007F76B8">
        <w:rPr>
          <w:rFonts w:asciiTheme="minorEastAsia" w:hAnsiTheme="minorEastAsia" w:hint="eastAsia"/>
          <w:b/>
          <w:bCs/>
          <w:noProof/>
        </w:rPr>
        <w:t>2023年第147期</w:t>
      </w:r>
      <w:r>
        <w:rPr>
          <w:rFonts w:asciiTheme="minorEastAsia" w:hAnsiTheme="minorEastAsia" w:hint="eastAsia"/>
          <w:b/>
          <w:bCs/>
        </w:rPr>
        <w:t>净值型封闭式理财产品产品说明书》及《嘉善农商银行“丰收·善盈”</w:t>
      </w:r>
      <w:r w:rsidRPr="007F76B8">
        <w:rPr>
          <w:rFonts w:asciiTheme="minorEastAsia" w:hAnsiTheme="minorEastAsia" w:hint="eastAsia"/>
          <w:b/>
          <w:bCs/>
          <w:noProof/>
        </w:rPr>
        <w:t>2023年第147期</w:t>
      </w:r>
      <w:r>
        <w:rPr>
          <w:rFonts w:asciiTheme="minorEastAsia" w:hAnsiTheme="minorEastAsia" w:hint="eastAsia"/>
          <w:b/>
          <w:bCs/>
        </w:rPr>
        <w:t>净值型封闭式理财产品</w:t>
      </w:r>
      <w:r>
        <w:rPr>
          <w:rFonts w:asciiTheme="minorEastAsia" w:hAnsiTheme="minorEastAsia" w:cs="楷体_GB2312" w:hint="eastAsia"/>
          <w:b/>
          <w:color w:val="000000"/>
          <w:sz w:val="22"/>
          <w:szCs w:val="28"/>
        </w:rPr>
        <w:t>产品协议</w:t>
      </w:r>
      <w:r>
        <w:rPr>
          <w:rFonts w:asciiTheme="minorEastAsia" w:hAnsiTheme="minorEastAsia" w:hint="eastAsia"/>
          <w:b/>
          <w:bCs/>
        </w:rPr>
        <w:t>》</w:t>
      </w:r>
      <w:r>
        <w:rPr>
          <w:rFonts w:asciiTheme="minorEastAsia" w:hAnsiTheme="minorEastAsia" w:cs="楷体_GB2312" w:hint="eastAsia"/>
          <w:sz w:val="22"/>
          <w:szCs w:val="28"/>
        </w:rPr>
        <w:t xml:space="preserve">以及业务凭证共同构成一份完整的、关于甲方所购某一理财产品的理财产品法律文件（以下简称“理财产品文件”）。 </w:t>
      </w:r>
    </w:p>
    <w:p w:rsidR="0030176D" w:rsidRDefault="0030176D">
      <w:pPr>
        <w:spacing w:line="400" w:lineRule="exact"/>
        <w:ind w:firstLineChars="200" w:firstLine="442"/>
        <w:rPr>
          <w:rFonts w:asciiTheme="minorEastAsia" w:hAnsiTheme="minorEastAsia" w:cs="楷体_GB2312"/>
          <w:b/>
          <w:sz w:val="22"/>
          <w:szCs w:val="28"/>
        </w:rPr>
      </w:pPr>
      <w:r>
        <w:rPr>
          <w:rFonts w:asciiTheme="minorEastAsia" w:hAnsiTheme="minorEastAsia" w:cs="楷体_GB2312" w:hint="eastAsia"/>
          <w:b/>
          <w:sz w:val="22"/>
          <w:szCs w:val="28"/>
        </w:rPr>
        <w:t xml:space="preserve">二、甲方声明和保证：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（一）个人投资者声明和保证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1、甲方具有完全民事行为能力；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2、甲方以本人合法所有的资金购买理财产品；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3、甲方已如实向乙方披露其风险承受能力状况及相关信息；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（二）机构投资者声明和保证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1、甲方为依法设立并合法存续的企业法人、事业法人、社会团体或其他组织，具有依据法律法规投资理财产品的资格；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3、甲方用于购买理财产品的资金为其合法所有并具有完全的占有、使用、收益、处分权，该资金可合法地投资于理财产品而不存在任何禁止或限制情形；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4、甲方已如实、完整向乙方披露其风险承受能力状况及相关信息；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30176D" w:rsidRDefault="0030176D">
      <w:pPr>
        <w:spacing w:line="400" w:lineRule="exact"/>
        <w:ind w:firstLineChars="200" w:firstLine="442"/>
        <w:rPr>
          <w:rFonts w:asciiTheme="minorEastAsia" w:hAnsiTheme="minorEastAsia" w:cs="楷体_GB2312"/>
          <w:b/>
          <w:sz w:val="22"/>
          <w:szCs w:val="28"/>
        </w:rPr>
      </w:pPr>
      <w:r>
        <w:rPr>
          <w:rFonts w:asciiTheme="minorEastAsia" w:hAnsiTheme="minorEastAsia" w:cs="楷体_GB2312" w:hint="eastAsia"/>
          <w:b/>
          <w:sz w:val="22"/>
          <w:szCs w:val="28"/>
        </w:rPr>
        <w:t xml:space="preserve">三、双方权利与义务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（一）甲方有权依照理财产品文件约定获取投资收益，在约定的投资期内，投资本金不另计存款利息。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（二）甲方有义务保证投资资金的来源合法，投资行为及资金投向符合法律、法规及相关监管部门的规定。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（三）甲方有义务保证所提供的信息、资料真实有效，如变更，应及时到乙方办理变更登记，因甲方未及时办理相关变更手续而造成的损失，乙方不承担责任。</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（六）乙方有权从甲方资金账户扣划本协议项下理财产品相应认/申购资金等理财款项，或将相应资金币种转换后进行境外投资。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（十）乙方有义务根据恪守信用、勤勉尽责的原则管理和运用理财产品财产，维护甲方利益。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（十一）除另有约定外，乙方不负责代扣代缴甲方应缴纳的税款。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（十三）法律法规和理财产品文件规定的其他权利和义务。</w:t>
      </w:r>
    </w:p>
    <w:p w:rsidR="0030176D" w:rsidRDefault="0030176D">
      <w:pPr>
        <w:spacing w:line="400" w:lineRule="exact"/>
        <w:ind w:firstLineChars="200" w:firstLine="442"/>
        <w:rPr>
          <w:rFonts w:asciiTheme="minorEastAsia" w:hAnsiTheme="minorEastAsia" w:cs="楷体_GB2312"/>
          <w:b/>
          <w:sz w:val="22"/>
          <w:szCs w:val="28"/>
        </w:rPr>
      </w:pPr>
      <w:r>
        <w:rPr>
          <w:rFonts w:asciiTheme="minorEastAsia" w:hAnsiTheme="minorEastAsia" w:cs="楷体_GB2312" w:hint="eastAsia"/>
          <w:b/>
          <w:sz w:val="22"/>
          <w:szCs w:val="28"/>
        </w:rPr>
        <w:t xml:space="preserve">四、违约及争议解决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（一）一方不能履行或者不能完全履行理财产品文件的，应承担违约责任。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（四）本协议及理财产品文件均适用中华人民共和国法律。本协议项下的任何争议，双方应通过友好协商解决；若协商不成，应向乙方所在地人民法院诉讼解决。</w:t>
      </w:r>
    </w:p>
    <w:p w:rsidR="0030176D" w:rsidRDefault="0030176D">
      <w:pPr>
        <w:spacing w:line="400" w:lineRule="exact"/>
        <w:ind w:firstLineChars="200" w:firstLine="442"/>
        <w:rPr>
          <w:rFonts w:asciiTheme="minorEastAsia" w:hAnsiTheme="minorEastAsia" w:cs="楷体_GB2312"/>
          <w:b/>
          <w:sz w:val="22"/>
          <w:szCs w:val="28"/>
        </w:rPr>
      </w:pPr>
      <w:r>
        <w:rPr>
          <w:rFonts w:asciiTheme="minorEastAsia" w:hAnsiTheme="minorEastAsia" w:cs="楷体_GB2312" w:hint="eastAsia"/>
          <w:b/>
          <w:sz w:val="22"/>
          <w:szCs w:val="28"/>
        </w:rPr>
        <w:t xml:space="preserve"> 五、协议生效、终止及其他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（二）除《产品说明书》约定的提前终止情形外，甲方有违约行为或甲方资金账户被有权机关冻结、扣划时，乙方有权提前终止本协议。</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（三）如甲方与乙方之间存在多份产品协议书，则每一份产品协议书之间相互独立，每一份产品协议书的效力及履行情况均独立于其他产品协议书。</w:t>
      </w:r>
    </w:p>
    <w:p w:rsidR="0030176D" w:rsidRDefault="0030176D">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（四）本产品协议书一式二份，经双方签字或盖章且产品协议书项下的认购资金存入理财账户后生效，双方各执一份，具有同等法律效力。</w:t>
      </w:r>
    </w:p>
    <w:p w:rsidR="0030176D" w:rsidRDefault="0030176D">
      <w:pPr>
        <w:widowControl/>
        <w:spacing w:line="400" w:lineRule="exact"/>
        <w:jc w:val="left"/>
        <w:rPr>
          <w:rFonts w:asciiTheme="minorEastAsia" w:hAnsiTheme="minorEastAsia" w:cs="宋体"/>
          <w:b/>
          <w:bCs/>
          <w:sz w:val="24"/>
          <w:szCs w:val="32"/>
        </w:rPr>
      </w:pPr>
      <w:r>
        <w:rPr>
          <w:rFonts w:asciiTheme="minorEastAsia" w:hAnsiTheme="minorEastAsia" w:cs="楷体_GB2312"/>
          <w:sz w:val="22"/>
          <w:szCs w:val="28"/>
        </w:rPr>
        <w:br w:type="page"/>
      </w:r>
    </w:p>
    <w:p w:rsidR="0030176D" w:rsidRDefault="0030176D">
      <w:pPr>
        <w:pStyle w:val="Default"/>
        <w:jc w:val="center"/>
        <w:rPr>
          <w:rFonts w:asciiTheme="minorEastAsia" w:eastAsiaTheme="minorEastAsia" w:hAnsiTheme="minorEastAsia"/>
          <w:b/>
          <w:color w:val="auto"/>
          <w:sz w:val="28"/>
          <w:szCs w:val="21"/>
        </w:rPr>
      </w:pPr>
      <w:r>
        <w:rPr>
          <w:rFonts w:asciiTheme="minorEastAsia" w:eastAsiaTheme="minorEastAsia" w:hAnsiTheme="minorEastAsia" w:hint="eastAsia"/>
          <w:b/>
          <w:color w:val="auto"/>
          <w:sz w:val="28"/>
          <w:szCs w:val="21"/>
        </w:rPr>
        <w:t>客户确认栏（个人客户填写）</w:t>
      </w:r>
    </w:p>
    <w:p w:rsidR="0030176D" w:rsidRDefault="0030176D">
      <w:pPr>
        <w:pStyle w:val="Default"/>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本人经嘉善农商银行评估的风险承受能力等级为：</w:t>
      </w:r>
    </w:p>
    <w:p w:rsidR="0030176D" w:rsidRDefault="0030176D">
      <w:pPr>
        <w:pStyle w:val="Default"/>
        <w:jc w:val="both"/>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 xml:space="preserve">□保守型        □谨慎型        □稳健型        □进取型        □激进型    </w:t>
      </w:r>
    </w:p>
    <w:p w:rsidR="0030176D" w:rsidRDefault="0030176D">
      <w:pPr>
        <w:pStyle w:val="Default"/>
        <w:jc w:val="both"/>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1"/>
          <w:szCs w:val="21"/>
        </w:rPr>
        <w:t>声明：本人已充分阅读《嘉善农商银行</w:t>
      </w:r>
      <w:r>
        <w:rPr>
          <w:rFonts w:asciiTheme="minorEastAsia" w:eastAsiaTheme="minorEastAsia" w:hAnsiTheme="minorEastAsia" w:hint="eastAsia"/>
          <w:b/>
          <w:bCs/>
          <w:sz w:val="21"/>
          <w:szCs w:val="21"/>
        </w:rPr>
        <w:t>“丰收·善</w:t>
      </w:r>
      <w:r w:rsidRPr="00EA6B8C">
        <w:rPr>
          <w:rFonts w:asciiTheme="minorEastAsia" w:eastAsiaTheme="minorEastAsia" w:hAnsiTheme="minorEastAsia" w:hint="eastAsia"/>
          <w:b/>
          <w:bCs/>
          <w:sz w:val="21"/>
          <w:szCs w:val="21"/>
        </w:rPr>
        <w:t>盈”</w:t>
      </w:r>
      <w:r w:rsidRPr="007F76B8">
        <w:rPr>
          <w:rFonts w:asciiTheme="minorEastAsia" w:eastAsiaTheme="minorEastAsia" w:hAnsiTheme="minorEastAsia" w:hint="eastAsia"/>
          <w:b/>
          <w:bCs/>
          <w:noProof/>
        </w:rPr>
        <w:t>2023年第147期</w:t>
      </w:r>
      <w:r w:rsidRPr="00EA6B8C">
        <w:rPr>
          <w:rFonts w:asciiTheme="minorEastAsia" w:eastAsiaTheme="minorEastAsia" w:hAnsiTheme="minorEastAsia" w:hint="eastAsia"/>
          <w:b/>
          <w:bCs/>
          <w:color w:val="auto"/>
          <w:sz w:val="21"/>
          <w:szCs w:val="21"/>
        </w:rPr>
        <w:t>净值型封闭式理财产品产品揭示书》、《嘉善农商银行</w:t>
      </w:r>
      <w:r w:rsidRPr="00EA6B8C">
        <w:rPr>
          <w:rFonts w:asciiTheme="minorEastAsia" w:eastAsiaTheme="minorEastAsia" w:hAnsiTheme="minorEastAsia" w:hint="eastAsia"/>
          <w:b/>
          <w:bCs/>
          <w:sz w:val="21"/>
          <w:szCs w:val="21"/>
        </w:rPr>
        <w:t>“丰收·善盈”</w:t>
      </w:r>
      <w:r w:rsidRPr="007F76B8">
        <w:rPr>
          <w:rFonts w:asciiTheme="minorEastAsia" w:eastAsiaTheme="minorEastAsia" w:hAnsiTheme="minorEastAsia" w:hint="eastAsia"/>
          <w:b/>
          <w:bCs/>
          <w:noProof/>
        </w:rPr>
        <w:t>2023年第147期</w:t>
      </w:r>
      <w:r w:rsidRPr="00EA6B8C">
        <w:rPr>
          <w:rFonts w:asciiTheme="minorEastAsia" w:eastAsiaTheme="minorEastAsia" w:hAnsiTheme="minorEastAsia" w:hint="eastAsia"/>
          <w:b/>
          <w:bCs/>
          <w:color w:val="auto"/>
          <w:sz w:val="21"/>
          <w:szCs w:val="21"/>
        </w:rPr>
        <w:t>净值型封闭式理财产品权益须知》、《嘉善农商银行</w:t>
      </w:r>
      <w:r w:rsidRPr="00EA6B8C">
        <w:rPr>
          <w:rFonts w:asciiTheme="minorEastAsia" w:eastAsiaTheme="minorEastAsia" w:hAnsiTheme="minorEastAsia" w:hint="eastAsia"/>
          <w:b/>
          <w:bCs/>
          <w:sz w:val="21"/>
          <w:szCs w:val="21"/>
        </w:rPr>
        <w:t>“丰收·善盈”</w:t>
      </w:r>
      <w:r w:rsidRPr="007F76B8">
        <w:rPr>
          <w:rFonts w:asciiTheme="minorEastAsia" w:eastAsiaTheme="minorEastAsia" w:hAnsiTheme="minorEastAsia" w:hint="eastAsia"/>
          <w:b/>
          <w:bCs/>
          <w:noProof/>
        </w:rPr>
        <w:t>2023年第147期</w:t>
      </w:r>
      <w:r w:rsidRPr="00EA6B8C">
        <w:rPr>
          <w:rFonts w:asciiTheme="minorEastAsia" w:eastAsiaTheme="minorEastAsia" w:hAnsiTheme="minorEastAsia" w:hint="eastAsia"/>
          <w:b/>
          <w:bCs/>
          <w:color w:val="auto"/>
          <w:sz w:val="21"/>
          <w:szCs w:val="21"/>
        </w:rPr>
        <w:t>净值型封闭式理财产品产品说明书》及《嘉善农商银行“丰收·善盈”</w:t>
      </w:r>
      <w:r w:rsidRPr="007F76B8">
        <w:rPr>
          <w:rFonts w:asciiTheme="minorEastAsia" w:eastAsiaTheme="minorEastAsia" w:hAnsiTheme="minorEastAsia" w:hint="eastAsia"/>
          <w:b/>
          <w:bCs/>
          <w:noProof/>
        </w:rPr>
        <w:t>2023年第147期</w:t>
      </w:r>
      <w:r w:rsidRPr="00EA6B8C">
        <w:rPr>
          <w:rFonts w:asciiTheme="minorEastAsia" w:eastAsiaTheme="minorEastAsia" w:hAnsiTheme="minorEastAsia" w:hint="eastAsia"/>
          <w:b/>
          <w:bCs/>
          <w:color w:val="auto"/>
          <w:sz w:val="21"/>
          <w:szCs w:val="21"/>
        </w:rPr>
        <w:t>净值型</w:t>
      </w:r>
      <w:r>
        <w:rPr>
          <w:rFonts w:asciiTheme="minorEastAsia" w:eastAsiaTheme="minorEastAsia" w:hAnsiTheme="minorEastAsia" w:hint="eastAsia"/>
          <w:b/>
          <w:bCs/>
          <w:color w:val="auto"/>
          <w:sz w:val="21"/>
          <w:szCs w:val="21"/>
        </w:rPr>
        <w:t>封闭式理财产品</w:t>
      </w:r>
      <w:r>
        <w:rPr>
          <w:rFonts w:asciiTheme="minorEastAsia" w:eastAsiaTheme="minorEastAsia" w:hAnsiTheme="minorEastAsia" w:cs="楷体_GB2312" w:hint="eastAsia"/>
          <w:b/>
          <w:sz w:val="21"/>
          <w:szCs w:val="21"/>
        </w:rPr>
        <w:t>产品协议条款</w:t>
      </w:r>
      <w:r>
        <w:rPr>
          <w:rFonts w:asciiTheme="minorEastAsia" w:eastAsiaTheme="minorEastAsia" w:hAnsiTheme="minorEastAsia" w:hint="eastAsia"/>
          <w:b/>
          <w:bCs/>
          <w:color w:val="auto"/>
          <w:sz w:val="21"/>
          <w:szCs w:val="21"/>
        </w:rPr>
        <w:t>》，并已对其作全面、准确的理解，充分认识到投资本理财产品需求承担的风险，并自愿承担此风险。</w:t>
      </w:r>
    </w:p>
    <w:p w:rsidR="0030176D" w:rsidRDefault="0030176D">
      <w:pPr>
        <w:pStyle w:val="Default"/>
        <w:jc w:val="both"/>
        <w:rPr>
          <w:rFonts w:asciiTheme="minorEastAsia" w:eastAsiaTheme="minorEastAsia" w:hAnsiTheme="minorEastAsia"/>
          <w:b/>
          <w:color w:val="auto"/>
          <w:sz w:val="21"/>
          <w:szCs w:val="21"/>
        </w:rPr>
      </w:pPr>
      <w:r>
        <w:rPr>
          <w:rFonts w:asciiTheme="minorEastAsia" w:eastAsiaTheme="minorEastAsia" w:hAnsiTheme="minorEastAsia" w:hint="eastAsia"/>
          <w:color w:val="auto"/>
          <w:sz w:val="21"/>
          <w:szCs w:val="21"/>
        </w:rPr>
        <w:t>（客户需全文抄录以下文字以完成确认：</w:t>
      </w:r>
      <w:r>
        <w:rPr>
          <w:rFonts w:asciiTheme="minorEastAsia" w:eastAsiaTheme="minorEastAsia" w:hAnsiTheme="minorEastAsia" w:hint="eastAsia"/>
          <w:b/>
          <w:color w:val="auto"/>
          <w:sz w:val="21"/>
          <w:szCs w:val="21"/>
        </w:rPr>
        <w:t xml:space="preserve">“本人已经阅读上述风险揭示，愿意承担投资风险。”） </w:t>
      </w:r>
    </w:p>
    <w:p w:rsidR="0030176D" w:rsidRDefault="0030176D">
      <w:pPr>
        <w:pStyle w:val="Default"/>
        <w:jc w:val="both"/>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rPr>
        <w:t>本人同时确认如下：</w:t>
      </w:r>
    </w:p>
    <w:p w:rsidR="0030176D" w:rsidRDefault="0030176D">
      <w:pPr>
        <w:pStyle w:val="Default"/>
        <w:jc w:val="both"/>
        <w:rPr>
          <w:rFonts w:asciiTheme="minorEastAsia" w:eastAsiaTheme="minorEastAsia" w:hAnsiTheme="minorEastAsia"/>
          <w:color w:val="auto"/>
          <w:sz w:val="21"/>
          <w:szCs w:val="21"/>
        </w:rPr>
      </w:pPr>
    </w:p>
    <w:p w:rsidR="0030176D" w:rsidRDefault="0030176D">
      <w:pPr>
        <w:rPr>
          <w:rFonts w:asciiTheme="minorEastAsia" w:hAnsiTheme="minorEastAsia"/>
          <w:kern w:val="0"/>
        </w:rPr>
      </w:pPr>
    </w:p>
    <w:p w:rsidR="0030176D" w:rsidRDefault="0030176D">
      <w:pPr>
        <w:rPr>
          <w:rFonts w:asciiTheme="minorEastAsia" w:hAnsiTheme="minorEastAsia"/>
          <w:kern w:val="0"/>
        </w:rPr>
      </w:pPr>
    </w:p>
    <w:p w:rsidR="0030176D" w:rsidRDefault="0030176D">
      <w:pPr>
        <w:rPr>
          <w:rFonts w:asciiTheme="minorEastAsia" w:hAnsiTheme="minorEastAsia"/>
          <w:kern w:val="0"/>
        </w:rPr>
      </w:pPr>
    </w:p>
    <w:p w:rsidR="0030176D" w:rsidRDefault="0030176D">
      <w:pPr>
        <w:rPr>
          <w:rFonts w:asciiTheme="minorEastAsia" w:hAnsiTheme="minorEastAsia"/>
          <w:kern w:val="0"/>
        </w:rPr>
      </w:pPr>
    </w:p>
    <w:p w:rsidR="0030176D" w:rsidRDefault="0030176D">
      <w:pPr>
        <w:rPr>
          <w:rFonts w:asciiTheme="minorEastAsia" w:hAnsiTheme="minorEastAsia"/>
          <w:kern w:val="0"/>
        </w:rPr>
      </w:pPr>
      <w:r>
        <w:rPr>
          <w:rFonts w:asciiTheme="minorEastAsia" w:hAnsiTheme="minorEastAsia" w:hint="eastAsia"/>
          <w:kern w:val="0"/>
        </w:rPr>
        <w:t>确认人（签字）：                                             日期：</w:t>
      </w:r>
      <w:r>
        <w:rPr>
          <w:rFonts w:asciiTheme="minorEastAsia" w:hAnsiTheme="minorEastAsia" w:hint="eastAsia"/>
        </w:rPr>
        <w:t xml:space="preserve">  年  月  日</w:t>
      </w:r>
    </w:p>
    <w:p w:rsidR="0030176D" w:rsidRDefault="0030176D">
      <w:pPr>
        <w:snapToGrid w:val="0"/>
        <w:rPr>
          <w:rFonts w:asciiTheme="minorEastAsia" w:hAnsiTheme="minorEastAsia"/>
          <w:kern w:val="0"/>
          <w:u w:val="single"/>
        </w:rPr>
      </w:pPr>
    </w:p>
    <w:p w:rsidR="0030176D" w:rsidRDefault="0030176D">
      <w:pPr>
        <w:pStyle w:val="Default"/>
        <w:jc w:val="center"/>
        <w:rPr>
          <w:rFonts w:asciiTheme="minorEastAsia" w:eastAsiaTheme="minorEastAsia" w:hAnsiTheme="minorEastAsia"/>
          <w:b/>
          <w:color w:val="auto"/>
          <w:sz w:val="21"/>
          <w:szCs w:val="21"/>
        </w:rPr>
      </w:pPr>
    </w:p>
    <w:p w:rsidR="0030176D" w:rsidRDefault="0030176D">
      <w:pPr>
        <w:pStyle w:val="Default"/>
        <w:jc w:val="center"/>
        <w:rPr>
          <w:rFonts w:asciiTheme="minorEastAsia" w:eastAsiaTheme="minorEastAsia" w:hAnsiTheme="minorEastAsia"/>
          <w:b/>
          <w:color w:val="auto"/>
          <w:sz w:val="21"/>
          <w:szCs w:val="21"/>
        </w:rPr>
      </w:pPr>
    </w:p>
    <w:p w:rsidR="0030176D" w:rsidRDefault="0030176D">
      <w:pPr>
        <w:pStyle w:val="Default"/>
        <w:jc w:val="center"/>
        <w:rPr>
          <w:rFonts w:asciiTheme="minorEastAsia" w:eastAsiaTheme="minorEastAsia" w:hAnsiTheme="minorEastAsia"/>
          <w:b/>
          <w:color w:val="auto"/>
          <w:sz w:val="21"/>
          <w:szCs w:val="21"/>
        </w:rPr>
      </w:pPr>
    </w:p>
    <w:p w:rsidR="0030176D" w:rsidRDefault="0030176D">
      <w:pPr>
        <w:pStyle w:val="Default"/>
        <w:jc w:val="center"/>
        <w:rPr>
          <w:rFonts w:asciiTheme="minorEastAsia" w:eastAsiaTheme="minorEastAsia" w:hAnsiTheme="minorEastAsia"/>
          <w:b/>
          <w:color w:val="auto"/>
          <w:sz w:val="21"/>
          <w:szCs w:val="21"/>
        </w:rPr>
      </w:pPr>
    </w:p>
    <w:p w:rsidR="0030176D" w:rsidRDefault="0030176D">
      <w:pPr>
        <w:pStyle w:val="Default"/>
        <w:jc w:val="center"/>
        <w:rPr>
          <w:rFonts w:asciiTheme="minorEastAsia" w:eastAsiaTheme="minorEastAsia" w:hAnsiTheme="minorEastAsia"/>
          <w:b/>
          <w:color w:val="auto"/>
          <w:sz w:val="28"/>
          <w:szCs w:val="21"/>
        </w:rPr>
      </w:pPr>
    </w:p>
    <w:p w:rsidR="0030176D" w:rsidRDefault="0030176D">
      <w:pPr>
        <w:pStyle w:val="Default"/>
        <w:jc w:val="center"/>
        <w:rPr>
          <w:rFonts w:asciiTheme="minorEastAsia" w:eastAsiaTheme="minorEastAsia" w:hAnsiTheme="minorEastAsia"/>
          <w:b/>
          <w:color w:val="auto"/>
          <w:sz w:val="28"/>
          <w:szCs w:val="21"/>
        </w:rPr>
      </w:pPr>
      <w:r>
        <w:rPr>
          <w:rFonts w:asciiTheme="minorEastAsia" w:eastAsiaTheme="minorEastAsia" w:hAnsiTheme="minorEastAsia" w:hint="eastAsia"/>
          <w:b/>
          <w:color w:val="auto"/>
          <w:sz w:val="28"/>
          <w:szCs w:val="21"/>
        </w:rPr>
        <w:t>客户确认栏（机构客户填写）</w:t>
      </w:r>
    </w:p>
    <w:p w:rsidR="0030176D" w:rsidRDefault="0030176D">
      <w:pPr>
        <w:pStyle w:val="Default"/>
        <w:jc w:val="both"/>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1"/>
          <w:szCs w:val="21"/>
        </w:rPr>
        <w:t>声明：我单位已充分阅读《嘉善农商银行“丰收·</w:t>
      </w:r>
      <w:r w:rsidRPr="00EA6B8C">
        <w:rPr>
          <w:rFonts w:asciiTheme="minorEastAsia" w:eastAsiaTheme="minorEastAsia" w:hAnsiTheme="minorEastAsia" w:hint="eastAsia"/>
          <w:b/>
          <w:bCs/>
          <w:color w:val="auto"/>
          <w:sz w:val="21"/>
          <w:szCs w:val="21"/>
        </w:rPr>
        <w:t>善盈”</w:t>
      </w:r>
      <w:r w:rsidRPr="007F76B8">
        <w:rPr>
          <w:rFonts w:asciiTheme="minorEastAsia" w:eastAsiaTheme="minorEastAsia" w:hAnsiTheme="minorEastAsia" w:hint="eastAsia"/>
          <w:b/>
          <w:bCs/>
          <w:noProof/>
        </w:rPr>
        <w:t>2023年第147期</w:t>
      </w:r>
      <w:r w:rsidRPr="00EA6B8C">
        <w:rPr>
          <w:rFonts w:asciiTheme="minorEastAsia" w:eastAsiaTheme="minorEastAsia" w:hAnsiTheme="minorEastAsia" w:hint="eastAsia"/>
          <w:b/>
          <w:bCs/>
          <w:color w:val="auto"/>
          <w:sz w:val="21"/>
          <w:szCs w:val="21"/>
        </w:rPr>
        <w:t>净值型封闭式理财产品产品揭示书》、《嘉善农商银行“丰收·善盈”</w:t>
      </w:r>
      <w:r w:rsidRPr="007F76B8">
        <w:rPr>
          <w:rFonts w:asciiTheme="minorEastAsia" w:eastAsiaTheme="minorEastAsia" w:hAnsiTheme="minorEastAsia" w:hint="eastAsia"/>
          <w:b/>
          <w:bCs/>
          <w:noProof/>
        </w:rPr>
        <w:t>2023年第147期</w:t>
      </w:r>
      <w:r w:rsidRPr="00EA6B8C">
        <w:rPr>
          <w:rFonts w:asciiTheme="minorEastAsia" w:eastAsiaTheme="minorEastAsia" w:hAnsiTheme="minorEastAsia" w:hint="eastAsia"/>
          <w:b/>
          <w:bCs/>
          <w:color w:val="auto"/>
          <w:sz w:val="21"/>
          <w:szCs w:val="21"/>
        </w:rPr>
        <w:t>净值型封闭式理财产品权益须知》、《嘉善农商银行“丰收·善盈”</w:t>
      </w:r>
      <w:r w:rsidRPr="007F76B8">
        <w:rPr>
          <w:rFonts w:asciiTheme="minorEastAsia" w:eastAsiaTheme="minorEastAsia" w:hAnsiTheme="minorEastAsia" w:hint="eastAsia"/>
          <w:b/>
          <w:bCs/>
          <w:noProof/>
        </w:rPr>
        <w:t>2023年第147期</w:t>
      </w:r>
      <w:r w:rsidRPr="00EA6B8C">
        <w:rPr>
          <w:rFonts w:asciiTheme="minorEastAsia" w:eastAsiaTheme="minorEastAsia" w:hAnsiTheme="minorEastAsia" w:hint="eastAsia"/>
          <w:b/>
          <w:bCs/>
          <w:color w:val="auto"/>
          <w:sz w:val="21"/>
          <w:szCs w:val="21"/>
        </w:rPr>
        <w:t>净值型封闭式理财产品产品说明书》及《嘉善农商银行“丰收·善盈”</w:t>
      </w:r>
      <w:r w:rsidRPr="007F76B8">
        <w:rPr>
          <w:rFonts w:asciiTheme="minorEastAsia" w:eastAsiaTheme="minorEastAsia" w:hAnsiTheme="minorEastAsia" w:hint="eastAsia"/>
          <w:b/>
          <w:bCs/>
          <w:noProof/>
        </w:rPr>
        <w:t>2023年第147期</w:t>
      </w:r>
      <w:r w:rsidRPr="00EA6B8C">
        <w:rPr>
          <w:rFonts w:asciiTheme="minorEastAsia" w:eastAsiaTheme="minorEastAsia" w:hAnsiTheme="minorEastAsia" w:hint="eastAsia"/>
          <w:b/>
          <w:bCs/>
          <w:color w:val="auto"/>
          <w:sz w:val="21"/>
          <w:szCs w:val="21"/>
        </w:rPr>
        <w:t>净值型封</w:t>
      </w:r>
      <w:r>
        <w:rPr>
          <w:rFonts w:asciiTheme="minorEastAsia" w:eastAsiaTheme="minorEastAsia" w:hAnsiTheme="minorEastAsia" w:hint="eastAsia"/>
          <w:b/>
          <w:bCs/>
          <w:color w:val="auto"/>
          <w:sz w:val="21"/>
          <w:szCs w:val="21"/>
        </w:rPr>
        <w:t>闭式理财产品</w:t>
      </w:r>
      <w:r>
        <w:rPr>
          <w:rFonts w:asciiTheme="minorEastAsia" w:eastAsiaTheme="minorEastAsia" w:hAnsiTheme="minorEastAsia" w:cs="楷体_GB2312" w:hint="eastAsia"/>
          <w:b/>
          <w:sz w:val="22"/>
          <w:szCs w:val="28"/>
        </w:rPr>
        <w:t>产品协议条款</w:t>
      </w:r>
      <w:r>
        <w:rPr>
          <w:rFonts w:asciiTheme="minorEastAsia" w:eastAsiaTheme="minorEastAsia" w:hAnsiTheme="minorEastAsia" w:hint="eastAsia"/>
          <w:b/>
          <w:bCs/>
          <w:color w:val="auto"/>
          <w:sz w:val="21"/>
          <w:szCs w:val="21"/>
        </w:rPr>
        <w:t>》，并已对其作全面、准确的理解，充分认识到投资本理财产品需求承担的风险，并自愿承担此风险。</w:t>
      </w:r>
    </w:p>
    <w:p w:rsidR="0030176D" w:rsidRDefault="0030176D" w:rsidP="00490F08"/>
    <w:p w:rsidR="0030176D" w:rsidRDefault="0030176D" w:rsidP="00490F08"/>
    <w:p w:rsidR="0030176D" w:rsidRDefault="0030176D" w:rsidP="00490F08"/>
    <w:p w:rsidR="0030176D" w:rsidRDefault="0030176D" w:rsidP="00490F08"/>
    <w:p w:rsidR="0030176D" w:rsidRDefault="0030176D">
      <w:pPr>
        <w:pStyle w:val="Default"/>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客户（公章）                                                 法定代表人（签章）或授权代理人</w:t>
      </w:r>
    </w:p>
    <w:p w:rsidR="0030176D" w:rsidRDefault="0030176D">
      <w:pPr>
        <w:pStyle w:val="Default"/>
        <w:jc w:val="both"/>
        <w:rPr>
          <w:rFonts w:asciiTheme="minorEastAsia" w:eastAsiaTheme="minorEastAsia" w:hAnsiTheme="minorEastAsia"/>
          <w:color w:val="auto"/>
          <w:sz w:val="21"/>
          <w:szCs w:val="21"/>
        </w:rPr>
      </w:pPr>
    </w:p>
    <w:p w:rsidR="0030176D" w:rsidRDefault="0030176D">
      <w:pPr>
        <w:pStyle w:val="Default"/>
        <w:ind w:firstLineChars="2950" w:firstLine="6195"/>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日期：  年  月  日</w:t>
      </w:r>
    </w:p>
    <w:p w:rsidR="0030176D" w:rsidRDefault="0030176D">
      <w:pPr>
        <w:autoSpaceDE w:val="0"/>
        <w:autoSpaceDN w:val="0"/>
        <w:adjustRightInd w:val="0"/>
        <w:jc w:val="center"/>
        <w:rPr>
          <w:rFonts w:asciiTheme="minorEastAsia" w:hAnsiTheme="minorEastAsia"/>
          <w:b/>
          <w:kern w:val="0"/>
          <w:sz w:val="18"/>
          <w:szCs w:val="18"/>
        </w:rPr>
      </w:pPr>
    </w:p>
    <w:p w:rsidR="0030176D" w:rsidRDefault="0030176D">
      <w:pPr>
        <w:pStyle w:val="Default"/>
        <w:spacing w:line="420" w:lineRule="exact"/>
        <w:jc w:val="center"/>
        <w:rPr>
          <w:rFonts w:asciiTheme="minorEastAsia" w:eastAsiaTheme="minorEastAsia" w:hAnsiTheme="minorEastAsia"/>
          <w:sz w:val="18"/>
          <w:szCs w:val="18"/>
        </w:rPr>
        <w:sectPr w:rsidR="0030176D" w:rsidSect="00CB2A17">
          <w:type w:val="continuous"/>
          <w:pgSz w:w="11906" w:h="16838"/>
          <w:pgMar w:top="1440" w:right="1800" w:bottom="1440" w:left="1800" w:header="851" w:footer="992" w:gutter="0"/>
          <w:pgNumType w:start="1"/>
          <w:cols w:space="720"/>
          <w:docGrid w:type="lines" w:linePitch="312"/>
        </w:sectPr>
      </w:pPr>
      <w:r>
        <w:rPr>
          <w:rFonts w:asciiTheme="minorEastAsia" w:eastAsiaTheme="minorEastAsia" w:hAnsiTheme="minorEastAsia" w:hint="eastAsia"/>
          <w:sz w:val="18"/>
          <w:szCs w:val="18"/>
        </w:rPr>
        <w:t>（本协议一式两份，一份由嘉善农商银行留存，一份由客户留存。）</w:t>
      </w:r>
    </w:p>
    <w:p w:rsidR="00033CF1" w:rsidRDefault="00033CF1"/>
    <w:sectPr w:rsidR="00033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6D"/>
    <w:rsid w:val="00033CF1"/>
    <w:rsid w:val="00301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8092318-F6E2-4F1F-B2D5-EC718091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30176D"/>
    <w:pPr>
      <w:widowControl w:val="0"/>
      <w:autoSpaceDE w:val="0"/>
      <w:autoSpaceDN w:val="0"/>
      <w:adjustRightInd w:val="0"/>
    </w:pPr>
    <w:rPr>
      <w:rFonts w:ascii="Wingdings" w:eastAsia="宋体" w:hAnsi="Wingdings" w:cs="Wingdings"/>
      <w:color w:val="000000"/>
      <w:kern w:val="0"/>
      <w:sz w:val="24"/>
      <w:szCs w:val="24"/>
    </w:rPr>
  </w:style>
  <w:style w:type="paragraph" w:styleId="a3">
    <w:name w:val="Title"/>
    <w:basedOn w:val="a"/>
    <w:next w:val="a"/>
    <w:link w:val="Char"/>
    <w:uiPriority w:val="10"/>
    <w:qFormat/>
    <w:rsid w:val="0030176D"/>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30176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jsnsyh</dc:creator>
  <cp:keywords/>
  <dc:description/>
  <cp:lastModifiedBy/>
  <cp:revision>1</cp:revision>
  <dcterms:created xsi:type="dcterms:W3CDTF">2023-10-18T08:01:00Z</dcterms:created>
</cp:coreProperties>
</file>