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898" w:rsidRDefault="00684898" w:rsidP="00B57C3E">
      <w:pPr>
        <w:pStyle w:val="1"/>
        <w:outlineLvl w:val="0"/>
      </w:pPr>
      <w:r>
        <w:rPr>
          <w:rFonts w:hint="eastAsia"/>
        </w:rPr>
        <w:t>嘉善农商银行“丰收·善盈”</w:t>
      </w:r>
      <w:r w:rsidRPr="00217CC1">
        <w:rPr>
          <w:noProof/>
        </w:rPr>
        <w:t>2024年第68期</w:t>
      </w:r>
      <w:r>
        <w:rPr>
          <w:rFonts w:hint="eastAsia"/>
        </w:rPr>
        <w:t>净值型封闭式理财产品风险揭示书</w:t>
      </w:r>
    </w:p>
    <w:p w:rsidR="00684898" w:rsidRDefault="00684898">
      <w:pPr>
        <w:autoSpaceDE w:val="0"/>
        <w:autoSpaceDN w:val="0"/>
        <w:adjustRightInd w:val="0"/>
        <w:spacing w:line="360" w:lineRule="auto"/>
        <w:jc w:val="center"/>
        <w:rPr>
          <w:rFonts w:asciiTheme="minorEastAsia" w:hAnsiTheme="minorEastAsia"/>
          <w:kern w:val="0"/>
        </w:rPr>
      </w:pPr>
      <w:r>
        <w:rPr>
          <w:rFonts w:asciiTheme="minorEastAsia" w:hAnsiTheme="minorEastAsia" w:hint="eastAsia"/>
          <w:b/>
          <w:kern w:val="0"/>
        </w:rPr>
        <w:t>“理财非存款、产品有风险、投资须谨慎</w:t>
      </w:r>
      <w:r>
        <w:rPr>
          <w:rFonts w:asciiTheme="minorEastAsia" w:hAnsiTheme="minorEastAsia" w:hint="eastAsia"/>
          <w:kern w:val="0"/>
        </w:rPr>
        <w:t>”</w:t>
      </w:r>
    </w:p>
    <w:p w:rsidR="00684898" w:rsidRDefault="00684898">
      <w:pPr>
        <w:autoSpaceDE w:val="0"/>
        <w:autoSpaceDN w:val="0"/>
        <w:adjustRightInd w:val="0"/>
        <w:spacing w:line="360" w:lineRule="auto"/>
        <w:jc w:val="center"/>
        <w:rPr>
          <w:rFonts w:asciiTheme="minorEastAsia" w:hAnsiTheme="minorEastAsia"/>
          <w:kern w:val="0"/>
        </w:rPr>
      </w:pPr>
    </w:p>
    <w:p w:rsidR="00684898" w:rsidRDefault="00684898">
      <w:pPr>
        <w:autoSpaceDE w:val="0"/>
        <w:autoSpaceDN w:val="0"/>
        <w:spacing w:line="360" w:lineRule="auto"/>
        <w:rPr>
          <w:rFonts w:asciiTheme="minorEastAsia" w:hAnsiTheme="minorEastAsia" w:cs="宋体"/>
          <w:kern w:val="0"/>
          <w:sz w:val="28"/>
          <w:szCs w:val="28"/>
        </w:rPr>
      </w:pPr>
      <w:r>
        <w:rPr>
          <w:rFonts w:asciiTheme="minorEastAsia" w:hAnsiTheme="minorEastAsia" w:cs="宋体" w:hint="eastAsia"/>
          <w:kern w:val="0"/>
          <w:sz w:val="28"/>
          <w:szCs w:val="28"/>
        </w:rPr>
        <w:t>尊敬的理财客户：</w:t>
      </w:r>
    </w:p>
    <w:p w:rsidR="00684898" w:rsidRDefault="00684898">
      <w:pPr>
        <w:autoSpaceDE w:val="0"/>
        <w:autoSpaceDN w:val="0"/>
        <w:spacing w:line="520" w:lineRule="exact"/>
        <w:ind w:firstLineChars="200" w:firstLine="560"/>
        <w:rPr>
          <w:rFonts w:asciiTheme="minorEastAsia" w:hAnsiTheme="minorEastAsia" w:cs="宋体"/>
          <w:kern w:val="0"/>
          <w:sz w:val="28"/>
          <w:szCs w:val="28"/>
        </w:rPr>
      </w:pPr>
      <w:r>
        <w:rPr>
          <w:rFonts w:asciiTheme="minorEastAsia" w:hAnsiTheme="minorEastAsia" w:cs="宋体" w:hint="eastAsia"/>
          <w:kern w:val="0"/>
          <w:sz w:val="28"/>
          <w:szCs w:val="28"/>
        </w:rPr>
        <w:t>本理财产品：嘉善农商银行“丰收·善盈”</w:t>
      </w:r>
      <w:r w:rsidRPr="00217CC1">
        <w:rPr>
          <w:rFonts w:asciiTheme="minorEastAsia" w:hAnsiTheme="minorEastAsia" w:cs="宋体"/>
          <w:noProof/>
          <w:kern w:val="0"/>
          <w:sz w:val="28"/>
          <w:szCs w:val="28"/>
        </w:rPr>
        <w:t>2024年第68期</w:t>
      </w:r>
      <w:r>
        <w:rPr>
          <w:rFonts w:asciiTheme="minorEastAsia" w:hAnsiTheme="minorEastAsia" w:cs="宋体" w:hint="eastAsia"/>
          <w:kern w:val="0"/>
          <w:sz w:val="28"/>
          <w:szCs w:val="28"/>
        </w:rPr>
        <w:t>净值型封闭式理财产品，属于封闭式非保本净值型</w:t>
      </w:r>
      <w:r>
        <w:rPr>
          <w:rFonts w:asciiTheme="minorEastAsia" w:hAnsiTheme="minorEastAsia" w:cs="宋体" w:hint="eastAsia"/>
          <w:bCs/>
          <w:kern w:val="0"/>
          <w:sz w:val="28"/>
          <w:szCs w:val="28"/>
        </w:rPr>
        <w:t>理财产品</w:t>
      </w:r>
      <w:r>
        <w:rPr>
          <w:rFonts w:asciiTheme="minorEastAsia" w:hAnsiTheme="minorEastAsia" w:cs="宋体" w:hint="eastAsia"/>
          <w:kern w:val="0"/>
          <w:sz w:val="28"/>
          <w:szCs w:val="28"/>
        </w:rPr>
        <w:t>，为公募类固定收益类理财产品。</w:t>
      </w:r>
      <w:r>
        <w:rPr>
          <w:rFonts w:asciiTheme="minorEastAsia" w:hAnsiTheme="minorEastAsia" w:cs="宋体" w:hint="eastAsia"/>
          <w:color w:val="000000"/>
          <w:kern w:val="0"/>
          <w:sz w:val="28"/>
          <w:szCs w:val="28"/>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嘉善农商银行对本产品的内部风险评级结果为PR2,较低风险，本产品理财本金亏损的概率较低。</w:t>
      </w:r>
    </w:p>
    <w:p w:rsidR="00684898" w:rsidRDefault="00684898">
      <w:pPr>
        <w:autoSpaceDE w:val="0"/>
        <w:autoSpaceDN w:val="0"/>
        <w:spacing w:line="520" w:lineRule="exact"/>
        <w:ind w:firstLineChars="200" w:firstLine="560"/>
        <w:rPr>
          <w:rFonts w:asciiTheme="minorEastAsia" w:hAnsiTheme="minorEastAsia" w:cs="宋体"/>
          <w:bCs/>
          <w:color w:val="000000"/>
          <w:kern w:val="0"/>
          <w:sz w:val="28"/>
          <w:szCs w:val="28"/>
        </w:rPr>
      </w:pPr>
    </w:p>
    <w:p w:rsidR="00684898" w:rsidRDefault="00684898">
      <w:pPr>
        <w:autoSpaceDE w:val="0"/>
        <w:autoSpaceDN w:val="0"/>
        <w:spacing w:line="520" w:lineRule="exact"/>
        <w:ind w:firstLineChars="200" w:firstLine="560"/>
        <w:rPr>
          <w:rFonts w:asciiTheme="minorEastAsia" w:hAnsiTheme="minorEastAsia" w:cs="宋体"/>
          <w:kern w:val="0"/>
          <w:sz w:val="28"/>
          <w:szCs w:val="28"/>
        </w:rPr>
      </w:pPr>
      <w:r>
        <w:rPr>
          <w:rFonts w:asciiTheme="minorEastAsia" w:hAnsiTheme="minorEastAsia" w:cs="宋体" w:hint="eastAsia"/>
          <w:bCs/>
          <w:color w:val="000000"/>
          <w:kern w:val="0"/>
          <w:sz w:val="28"/>
          <w:szCs w:val="28"/>
        </w:rPr>
        <w:t>您应仔细阅读理财产品风险揭示书、理财产品说明书、客户权益须知、理财产品协议书全部条款</w:t>
      </w:r>
      <w:r>
        <w:rPr>
          <w:rFonts w:asciiTheme="minorEastAsia" w:hAnsiTheme="minorEastAsia" w:cs="宋体" w:hint="eastAsia"/>
          <w:color w:val="000000"/>
          <w:kern w:val="0"/>
          <w:sz w:val="28"/>
          <w:szCs w:val="28"/>
        </w:rPr>
        <w:t>，这些销售文件将共同构成客户与发行银行之间的理财交易合同（若手机银行购买的，成功交易后视同为客户与嘉善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684898" w:rsidRDefault="00684898">
      <w:pPr>
        <w:autoSpaceDE w:val="0"/>
        <w:autoSpaceDN w:val="0"/>
        <w:spacing w:line="520" w:lineRule="exact"/>
        <w:ind w:firstLine="420"/>
        <w:jc w:val="left"/>
        <w:rPr>
          <w:rFonts w:asciiTheme="minorEastAsia" w:hAnsiTheme="minorEastAsia" w:cs="宋体"/>
          <w:sz w:val="28"/>
          <w:szCs w:val="28"/>
        </w:rPr>
      </w:pPr>
      <w:r>
        <w:rPr>
          <w:rFonts w:asciiTheme="minorEastAsia" w:hAnsiTheme="minorEastAsia" w:cs="宋体" w:hint="eastAsia"/>
          <w:sz w:val="28"/>
          <w:szCs w:val="28"/>
        </w:rPr>
        <w:t>（一）信用风险：理财产品面临的信用风险主要是指因理财产品配置资产所涉及的相关债务主体到期未能履行还款义务，使理财产品本金或收益蒙受损失的风险。</w:t>
      </w:r>
    </w:p>
    <w:p w:rsidR="00684898" w:rsidRDefault="00684898">
      <w:pPr>
        <w:autoSpaceDE w:val="0"/>
        <w:autoSpaceDN w:val="0"/>
        <w:spacing w:line="520" w:lineRule="exact"/>
        <w:ind w:firstLine="420"/>
        <w:jc w:val="left"/>
        <w:rPr>
          <w:rFonts w:asciiTheme="minorEastAsia" w:hAnsiTheme="minorEastAsia" w:cs="宋体"/>
          <w:sz w:val="28"/>
          <w:szCs w:val="28"/>
        </w:rPr>
      </w:pPr>
      <w:r>
        <w:rPr>
          <w:rFonts w:asciiTheme="minorEastAsia" w:hAnsiTheme="minorEastAsia" w:cs="宋体" w:hint="eastAsia"/>
          <w:sz w:val="28"/>
          <w:szCs w:val="28"/>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684898" w:rsidRDefault="00684898">
      <w:pPr>
        <w:autoSpaceDE w:val="0"/>
        <w:autoSpaceDN w:val="0"/>
        <w:spacing w:line="520" w:lineRule="exact"/>
        <w:ind w:firstLine="420"/>
        <w:jc w:val="left"/>
        <w:rPr>
          <w:rFonts w:asciiTheme="minorEastAsia" w:hAnsiTheme="minorEastAsia" w:cs="宋体"/>
          <w:sz w:val="28"/>
          <w:szCs w:val="28"/>
        </w:rPr>
      </w:pPr>
      <w:r>
        <w:rPr>
          <w:rFonts w:asciiTheme="minorEastAsia" w:hAnsiTheme="minorEastAsia" w:cs="宋体" w:hint="eastAsia"/>
          <w:color w:val="000000"/>
          <w:sz w:val="28"/>
          <w:szCs w:val="28"/>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684898" w:rsidRDefault="00684898">
      <w:pPr>
        <w:autoSpaceDE w:val="0"/>
        <w:autoSpaceDN w:val="0"/>
        <w:spacing w:line="520" w:lineRule="exact"/>
        <w:ind w:firstLine="420"/>
        <w:jc w:val="left"/>
        <w:rPr>
          <w:rFonts w:asciiTheme="minorEastAsia" w:hAnsiTheme="minorEastAsia" w:cs="宋体"/>
          <w:sz w:val="28"/>
          <w:szCs w:val="28"/>
        </w:rPr>
      </w:pPr>
      <w:r>
        <w:rPr>
          <w:rFonts w:asciiTheme="minorEastAsia" w:hAnsiTheme="minorEastAsia" w:cs="宋体" w:hint="eastAsia"/>
          <w:sz w:val="28"/>
          <w:szCs w:val="28"/>
        </w:rPr>
        <w:t>（四）交易对手风险：理财产品面临的交易对手风险主要是指银行为理财产品配置资产的过程中，因交易对手交易失误等原因，导致理财产品本金或收益蒙受损失的风险。</w:t>
      </w:r>
    </w:p>
    <w:p w:rsidR="00684898" w:rsidRDefault="00684898">
      <w:pPr>
        <w:autoSpaceDE w:val="0"/>
        <w:autoSpaceDN w:val="0"/>
        <w:spacing w:line="520" w:lineRule="exact"/>
        <w:ind w:firstLine="420"/>
        <w:jc w:val="left"/>
        <w:rPr>
          <w:rFonts w:asciiTheme="minorEastAsia" w:hAnsiTheme="minorEastAsia" w:cs="宋体"/>
          <w:sz w:val="28"/>
          <w:szCs w:val="28"/>
        </w:rPr>
      </w:pPr>
      <w:r>
        <w:rPr>
          <w:rFonts w:asciiTheme="minorEastAsia" w:hAnsiTheme="minorEastAsia" w:cs="宋体" w:hint="eastAsia"/>
          <w:sz w:val="28"/>
          <w:szCs w:val="28"/>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684898" w:rsidRDefault="00684898">
      <w:pPr>
        <w:autoSpaceDE w:val="0"/>
        <w:autoSpaceDN w:val="0"/>
        <w:spacing w:line="520" w:lineRule="exact"/>
        <w:ind w:firstLine="420"/>
        <w:jc w:val="left"/>
        <w:rPr>
          <w:rFonts w:asciiTheme="minorEastAsia" w:hAnsiTheme="minorEastAsia" w:cs="宋体"/>
          <w:sz w:val="28"/>
          <w:szCs w:val="28"/>
        </w:rPr>
      </w:pPr>
      <w:r>
        <w:rPr>
          <w:rFonts w:asciiTheme="minorEastAsia" w:hAnsiTheme="minorEastAsia" w:cs="宋体" w:hint="eastAsia"/>
          <w:sz w:val="28"/>
          <w:szCs w:val="28"/>
        </w:rPr>
        <w:t>（六）延期风险：如因理财产品项下对应的理财财产不能及时变现等原因造成理财产品不能按时偿还本金及收益，理财产品将面临期限相应延长或进行二次清算的可能。</w:t>
      </w:r>
    </w:p>
    <w:p w:rsidR="00684898" w:rsidRDefault="00684898">
      <w:pPr>
        <w:autoSpaceDE w:val="0"/>
        <w:autoSpaceDN w:val="0"/>
        <w:spacing w:line="520" w:lineRule="exact"/>
        <w:ind w:firstLine="420"/>
        <w:jc w:val="left"/>
        <w:rPr>
          <w:rFonts w:asciiTheme="minorEastAsia" w:hAnsiTheme="minorEastAsia" w:cs="宋体"/>
          <w:sz w:val="28"/>
          <w:szCs w:val="28"/>
        </w:rPr>
      </w:pPr>
      <w:r>
        <w:rPr>
          <w:rFonts w:asciiTheme="minorEastAsia" w:hAnsiTheme="minorEastAsia" w:cs="宋体" w:hint="eastAsia"/>
          <w:sz w:val="28"/>
          <w:szCs w:val="28"/>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684898" w:rsidRDefault="00684898">
      <w:pPr>
        <w:autoSpaceDE w:val="0"/>
        <w:autoSpaceDN w:val="0"/>
        <w:spacing w:line="520" w:lineRule="exact"/>
        <w:ind w:firstLine="420"/>
        <w:jc w:val="left"/>
        <w:rPr>
          <w:rFonts w:asciiTheme="minorEastAsia" w:hAnsiTheme="minorEastAsia" w:cs="宋体"/>
          <w:sz w:val="28"/>
          <w:szCs w:val="28"/>
        </w:rPr>
      </w:pPr>
      <w:r>
        <w:rPr>
          <w:rFonts w:asciiTheme="minorEastAsia" w:hAnsiTheme="minorEastAsia" w:cs="宋体" w:hint="eastAsia"/>
          <w:sz w:val="28"/>
          <w:szCs w:val="28"/>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684898" w:rsidRDefault="00684898">
      <w:pPr>
        <w:autoSpaceDE w:val="0"/>
        <w:autoSpaceDN w:val="0"/>
        <w:spacing w:line="520" w:lineRule="exact"/>
        <w:ind w:firstLine="420"/>
        <w:jc w:val="left"/>
        <w:rPr>
          <w:rFonts w:asciiTheme="minorEastAsia" w:hAnsiTheme="minorEastAsia" w:cs="宋体"/>
          <w:sz w:val="28"/>
          <w:szCs w:val="28"/>
        </w:rPr>
      </w:pPr>
      <w:r>
        <w:rPr>
          <w:rFonts w:asciiTheme="minorEastAsia" w:hAnsiTheme="minorEastAsia" w:cs="宋体" w:hint="eastAsia"/>
          <w:sz w:val="28"/>
          <w:szCs w:val="28"/>
        </w:rPr>
        <w:t>（九）其他风险：战争、自然灾害等不可抗力因素的出现，将会严重影响金融市场的运行，可能导致受托管理资产的损失，甚至影响理财产品的受理、投资、偿还等的正常运行，进而影响理财产品的资金安全。</w:t>
      </w:r>
    </w:p>
    <w:p w:rsidR="00684898" w:rsidRDefault="00684898">
      <w:pPr>
        <w:autoSpaceDE w:val="0"/>
        <w:autoSpaceDN w:val="0"/>
        <w:spacing w:line="520" w:lineRule="exact"/>
        <w:ind w:firstLine="420"/>
        <w:jc w:val="left"/>
        <w:rPr>
          <w:rFonts w:asciiTheme="minorEastAsia" w:hAnsiTheme="minorEastAsia" w:cs="宋体"/>
          <w:sz w:val="28"/>
          <w:szCs w:val="28"/>
        </w:rPr>
      </w:pPr>
      <w:r>
        <w:rPr>
          <w:rFonts w:asciiTheme="minorEastAsia" w:hAnsiTheme="minorEastAsia" w:cs="宋体" w:hint="eastAsia"/>
          <w:sz w:val="28"/>
          <w:szCs w:val="28"/>
        </w:rPr>
        <w:t>上述举例提示可能并未穷尽本理财产品项下可能出现的所有风险。</w:t>
      </w:r>
    </w:p>
    <w:p w:rsidR="00684898" w:rsidRDefault="00684898">
      <w:pPr>
        <w:autoSpaceDE w:val="0"/>
        <w:autoSpaceDN w:val="0"/>
        <w:spacing w:line="520" w:lineRule="exact"/>
        <w:ind w:firstLine="420"/>
        <w:jc w:val="left"/>
        <w:rPr>
          <w:rFonts w:asciiTheme="minorEastAsia" w:hAnsiTheme="minorEastAsia" w:cs="宋体"/>
          <w:sz w:val="28"/>
          <w:szCs w:val="28"/>
        </w:rPr>
      </w:pPr>
    </w:p>
    <w:p w:rsidR="00684898" w:rsidRDefault="00684898">
      <w:pPr>
        <w:autoSpaceDE w:val="0"/>
        <w:autoSpaceDN w:val="0"/>
        <w:spacing w:line="520" w:lineRule="exact"/>
        <w:ind w:firstLine="420"/>
        <w:jc w:val="left"/>
        <w:rPr>
          <w:rFonts w:asciiTheme="minorEastAsia" w:hAnsiTheme="minorEastAsia" w:cs="宋体"/>
          <w:sz w:val="28"/>
          <w:szCs w:val="28"/>
        </w:rPr>
      </w:pPr>
      <w:r>
        <w:rPr>
          <w:rFonts w:asciiTheme="minorEastAsia" w:hAnsiTheme="minorEastAsia" w:cs="宋体" w:hint="eastAsia"/>
          <w:sz w:val="28"/>
          <w:szCs w:val="28"/>
        </w:rPr>
        <w:t>银行按照理财产品说明书有关条款的约定，发布理财产品的运作、到期清算或提前终止等信息公告。客户应根据约定及时登陆嘉善农商银行网站或拨打银行24小时热线96596查询，如果客户未及时查询，或由于通信故障、系统故障以及其他不可抗力等因素的影响使得客户无法及时了解产品信息，因此而产生的责任和风险由客户自行承担。对于个人客户，如果影响客户风险承受能力的因素发生变化或风险承受能力评估结果已过一年的有效期，请及时完成风险承受能力评估，否则可能造成客户无法认购，由此产生的责任和风险由客户自行承担。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684898" w:rsidRDefault="00684898">
      <w:pPr>
        <w:autoSpaceDE w:val="0"/>
        <w:autoSpaceDN w:val="0"/>
        <w:spacing w:line="520" w:lineRule="exact"/>
        <w:ind w:firstLine="420"/>
        <w:jc w:val="left"/>
        <w:rPr>
          <w:rFonts w:asciiTheme="minorEastAsia" w:hAnsiTheme="minorEastAsia" w:cs="宋体"/>
          <w:bCs/>
          <w:color w:val="000000"/>
          <w:sz w:val="28"/>
          <w:szCs w:val="28"/>
        </w:rPr>
      </w:pPr>
      <w:r>
        <w:rPr>
          <w:rFonts w:asciiTheme="minorEastAsia" w:hAnsiTheme="minorEastAsia" w:cs="宋体" w:hint="eastAsia"/>
          <w:sz w:val="28"/>
          <w:szCs w:val="28"/>
        </w:rPr>
        <w:t>本理财产品类型：非保本净值型；本理财产品风险评级结果：根据本行理财产品内部风险评级，该产品风险评级结果为PR2（本风险等级为我行内部风险评级结果，仅供参考，我行不对前述风险评级结果的准确性做出任何形式的保证，也不承担任何法律责任）；适合购买本理财产品的客户：本理财产品适合机构投资者及稳健型、平衡型、成长型、进取型的个人投资者，不向保守型个人投资者发售。</w:t>
      </w:r>
      <w:r>
        <w:rPr>
          <w:rFonts w:asciiTheme="minorEastAsia" w:hAnsiTheme="minorEastAsia" w:cs="宋体" w:hint="eastAsia"/>
          <w:bCs/>
          <w:color w:val="000000"/>
          <w:sz w:val="28"/>
          <w:szCs w:val="28"/>
        </w:rPr>
        <w:t>本理财产品总体风险程度较低，收益波动较小，嘉善农商银行不承诺本金保障。在发生最不利投资情形下（可能但并不一定发生），客户可能无法取得收益并可能面临损失本金的风险。上述风险客观存在，敬请投资人予以充分关注！</w:t>
      </w:r>
    </w:p>
    <w:p w:rsidR="00684898" w:rsidRDefault="00684898">
      <w:pPr>
        <w:autoSpaceDE w:val="0"/>
        <w:autoSpaceDN w:val="0"/>
        <w:spacing w:line="520" w:lineRule="exact"/>
        <w:ind w:firstLine="420"/>
        <w:jc w:val="left"/>
        <w:rPr>
          <w:rFonts w:asciiTheme="minorEastAsia" w:hAnsiTheme="minorEastAsia" w:cs="宋体"/>
          <w:sz w:val="28"/>
          <w:szCs w:val="28"/>
        </w:rPr>
      </w:pPr>
    </w:p>
    <w:p w:rsidR="00684898" w:rsidRDefault="00684898">
      <w:pPr>
        <w:autoSpaceDE w:val="0"/>
        <w:autoSpaceDN w:val="0"/>
        <w:adjustRightInd w:val="0"/>
        <w:spacing w:line="360" w:lineRule="auto"/>
        <w:ind w:firstLineChars="1400" w:firstLine="3920"/>
        <w:jc w:val="right"/>
        <w:rPr>
          <w:rFonts w:asciiTheme="minorEastAsia" w:hAnsiTheme="minorEastAsia" w:cs="宋体"/>
          <w:kern w:val="0"/>
          <w:sz w:val="28"/>
          <w:szCs w:val="28"/>
        </w:rPr>
      </w:pPr>
    </w:p>
    <w:p w:rsidR="00684898" w:rsidRDefault="00684898">
      <w:pPr>
        <w:autoSpaceDE w:val="0"/>
        <w:autoSpaceDN w:val="0"/>
        <w:adjustRightInd w:val="0"/>
        <w:spacing w:line="360" w:lineRule="auto"/>
        <w:ind w:firstLineChars="1400" w:firstLine="2940"/>
        <w:jc w:val="right"/>
        <w:rPr>
          <w:rFonts w:asciiTheme="minorEastAsia" w:hAnsiTheme="minorEastAsia" w:cs="宋体"/>
          <w:kern w:val="0"/>
        </w:rPr>
      </w:pPr>
    </w:p>
    <w:p w:rsidR="00684898" w:rsidRDefault="00684898">
      <w:pPr>
        <w:autoSpaceDE w:val="0"/>
        <w:autoSpaceDN w:val="0"/>
        <w:adjustRightInd w:val="0"/>
        <w:spacing w:line="360" w:lineRule="auto"/>
        <w:ind w:firstLineChars="1400" w:firstLine="2940"/>
        <w:jc w:val="right"/>
        <w:rPr>
          <w:rFonts w:asciiTheme="minorEastAsia" w:hAnsiTheme="minorEastAsia" w:cs="宋体"/>
          <w:kern w:val="0"/>
        </w:rPr>
      </w:pPr>
    </w:p>
    <w:p w:rsidR="00684898" w:rsidRDefault="00684898">
      <w:pPr>
        <w:autoSpaceDE w:val="0"/>
        <w:autoSpaceDN w:val="0"/>
        <w:adjustRightInd w:val="0"/>
        <w:spacing w:line="360" w:lineRule="auto"/>
        <w:ind w:firstLineChars="1400" w:firstLine="2940"/>
        <w:jc w:val="right"/>
        <w:rPr>
          <w:rFonts w:asciiTheme="minorEastAsia" w:hAnsiTheme="minorEastAsia" w:cs="宋体"/>
          <w:kern w:val="0"/>
        </w:rPr>
      </w:pPr>
    </w:p>
    <w:p w:rsidR="00684898" w:rsidRDefault="00684898">
      <w:pPr>
        <w:rPr>
          <w:rFonts w:asciiTheme="minorEastAsia" w:hAnsiTheme="minorEastAsia" w:cs="宋体"/>
          <w:kern w:val="0"/>
        </w:rPr>
        <w:sectPr w:rsidR="00684898" w:rsidSect="00516037">
          <w:type w:val="continuous"/>
          <w:pgSz w:w="11906" w:h="16838"/>
          <w:pgMar w:top="1440" w:right="1800" w:bottom="1440" w:left="1800" w:header="851" w:footer="992" w:gutter="0"/>
          <w:pgNumType w:start="1"/>
          <w:cols w:space="425"/>
          <w:docGrid w:type="lines" w:linePitch="312"/>
        </w:sectPr>
      </w:pPr>
      <w:r>
        <w:rPr>
          <w:rFonts w:asciiTheme="minorEastAsia" w:hAnsiTheme="minorEastAsia" w:cs="宋体" w:hint="eastAsia"/>
          <w:kern w:val="0"/>
        </w:rPr>
        <w:t>风险提示方： 浙江嘉善农村商业银行股份有限公司</w:t>
      </w:r>
    </w:p>
    <w:p w:rsidR="002C5479" w:rsidRDefault="002C5479"/>
    <w:sectPr w:rsidR="002C54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898"/>
    <w:rsid w:val="002C5479"/>
    <w:rsid w:val="00684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5FE10E5-EF29-44AE-9D29-FEC591B72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link w:val="10"/>
    <w:qFormat/>
    <w:rsid w:val="00684898"/>
    <w:pPr>
      <w:jc w:val="center"/>
    </w:pPr>
    <w:rPr>
      <w:rFonts w:asciiTheme="minorEastAsia" w:hAnsiTheme="minorEastAsia" w:cs="Calibri"/>
      <w:b/>
      <w:sz w:val="32"/>
      <w:szCs w:val="32"/>
    </w:rPr>
  </w:style>
  <w:style w:type="character" w:customStyle="1" w:styleId="10">
    <w:name w:val="样式1 字符"/>
    <w:basedOn w:val="a0"/>
    <w:link w:val="1"/>
    <w:rsid w:val="00684898"/>
    <w:rPr>
      <w:rFonts w:asciiTheme="minorEastAsia" w:hAnsiTheme="minorEastAsia" w:cs="Calibr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1802</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jsnsyh</dc:creator>
  <cp:keywords/>
  <dc:description/>
  <cp:lastModifiedBy/>
  <cp:revision>1</cp:revision>
  <dcterms:created xsi:type="dcterms:W3CDTF">2024-06-14T02:28:00Z</dcterms:created>
</cp:coreProperties>
</file>