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rPr>
          <w:rFonts w:cs="Times New Roman"/>
        </w:rPr>
      </w:pPr>
      <w:r>
        <w:rPr>
          <w:rFonts w:hint="eastAsia"/>
        </w:rPr>
        <w:t>嘉善农商银行“丰收·善盈”</w:t>
      </w:r>
      <w:r>
        <w:t>2024年第68期</w:t>
      </w:r>
      <w:r>
        <w:rPr>
          <w:rFonts w:hint="eastAsia"/>
        </w:rPr>
        <w:t>净值型封闭式理财产品说明书</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重要提示</w:t>
      </w:r>
    </w:p>
    <w:p>
      <w:pPr>
        <w:autoSpaceDE w:val="0"/>
        <w:autoSpaceDN w:val="0"/>
        <w:spacing w:line="52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1. 本产品不等同于银行存款和预期收益型理财产品。 </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2. 本产品仅向依据中华人民共和国有关法律法规及本产品说明书规定可以购买本理财计划的投资者发售。</w:t>
      </w:r>
    </w:p>
    <w:p>
      <w:pPr>
        <w:autoSpaceDE w:val="0"/>
        <w:autoSpaceDN w:val="0"/>
        <w:spacing w:line="52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3. 在购买本理财计划前，请投资者确保完全明白本理财计划的性质、其中涉及的风险以及投资者的自身情况。投资者若对本产品说明书的内容有任何疑问，请向嘉善农商银行各营业网点咨询。 </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4. 本产品是非保本净值型产品。嘉善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5. 投资者在嘉善农商银行签署理财合约认购本产品前，应当仔细阅读本说明书及其他相关销售文件的全部内容，同时向嘉善农商银行了解本产品的具体信息，确保自身完全了解该项投资的性质、投资所涉及的风险以及自身的风险承受能力，在慎重考虑后独立做出认购决定。</w:t>
      </w:r>
      <w:r>
        <w:rPr>
          <w:rFonts w:hint="eastAsia" w:ascii="宋体" w:hAnsi="宋体" w:eastAsia="宋体" w:cs="Wingdings"/>
          <w:b/>
          <w:bCs/>
          <w:kern w:val="0"/>
          <w:szCs w:val="21"/>
        </w:rPr>
        <w:t>《嘉善农商银行“丰收·善盈”</w:t>
      </w:r>
      <w:r>
        <w:rPr>
          <w:rFonts w:ascii="宋体" w:hAnsi="宋体" w:eastAsia="宋体" w:cs="Wingdings"/>
          <w:b/>
          <w:bCs/>
          <w:kern w:val="0"/>
          <w:szCs w:val="21"/>
        </w:rPr>
        <w:t>2024年第68期</w:t>
      </w:r>
      <w:r>
        <w:rPr>
          <w:rFonts w:hint="eastAsia" w:ascii="宋体" w:hAnsi="宋体" w:eastAsia="宋体" w:cs="Wingdings"/>
          <w:b/>
          <w:bCs/>
          <w:kern w:val="0"/>
          <w:szCs w:val="21"/>
        </w:rPr>
        <w:t>值型封闭式理财产品揭示书》、《嘉善农商银行“丰收·善盈”</w:t>
      </w:r>
      <w:r>
        <w:rPr>
          <w:rFonts w:ascii="宋体" w:hAnsi="宋体" w:eastAsia="宋体" w:cs="Wingdings"/>
          <w:b/>
          <w:bCs/>
          <w:kern w:val="0"/>
          <w:szCs w:val="21"/>
        </w:rPr>
        <w:t>2024年第68期</w:t>
      </w:r>
      <w:r>
        <w:rPr>
          <w:rFonts w:hint="eastAsia" w:ascii="宋体" w:hAnsi="宋体" w:eastAsia="宋体" w:cs="Wingdings"/>
          <w:b/>
          <w:bCs/>
          <w:kern w:val="0"/>
          <w:szCs w:val="21"/>
        </w:rPr>
        <w:t>净值型封闭式理财产品权益须知》、《嘉善农商银行“丰收·善盈”</w:t>
      </w:r>
      <w:r>
        <w:rPr>
          <w:rFonts w:ascii="宋体" w:hAnsi="宋体" w:eastAsia="宋体" w:cs="Wingdings"/>
          <w:b/>
          <w:bCs/>
          <w:kern w:val="0"/>
          <w:szCs w:val="21"/>
        </w:rPr>
        <w:t>2024年第68期</w:t>
      </w:r>
      <w:r>
        <w:rPr>
          <w:rFonts w:hint="eastAsia" w:ascii="宋体" w:hAnsi="宋体" w:eastAsia="宋体" w:cs="Wingdings"/>
          <w:b/>
          <w:bCs/>
          <w:kern w:val="0"/>
          <w:szCs w:val="21"/>
        </w:rPr>
        <w:t>净值型封闭式理财产品说明书》、《嘉善农商银行“丰收·善盈”</w:t>
      </w:r>
      <w:r>
        <w:rPr>
          <w:rFonts w:ascii="宋体" w:hAnsi="宋体" w:eastAsia="宋体" w:cs="Wingdings"/>
          <w:b/>
          <w:bCs/>
          <w:kern w:val="0"/>
          <w:szCs w:val="21"/>
        </w:rPr>
        <w:t>2024年第68期</w:t>
      </w:r>
      <w:r>
        <w:rPr>
          <w:rFonts w:hint="eastAsia" w:ascii="宋体" w:hAnsi="宋体" w:eastAsia="宋体" w:cs="Wingdings"/>
          <w:b/>
          <w:bCs/>
          <w:kern w:val="0"/>
          <w:szCs w:val="21"/>
        </w:rPr>
        <w:t>净值型封闭式理财产品</w:t>
      </w:r>
      <w:r>
        <w:rPr>
          <w:rFonts w:hint="eastAsia" w:ascii="宋体" w:hAnsi="宋体" w:eastAsia="宋体" w:cs="楷体_GB2312"/>
          <w:b/>
          <w:color w:val="000000"/>
          <w:kern w:val="0"/>
          <w:sz w:val="22"/>
          <w:szCs w:val="28"/>
        </w:rPr>
        <w:t>协议</w:t>
      </w:r>
      <w:r>
        <w:rPr>
          <w:rFonts w:hint="eastAsia" w:ascii="宋体" w:hAnsi="宋体" w:eastAsia="宋体" w:cs="Wingdings"/>
          <w:b/>
          <w:bCs/>
          <w:kern w:val="0"/>
          <w:szCs w:val="21"/>
        </w:rPr>
        <w:t>》及业务凭证</w:t>
      </w:r>
      <w:r>
        <w:rPr>
          <w:rFonts w:hint="eastAsia" w:ascii="宋体" w:hAnsi="宋体" w:eastAsia="宋体" w:cs="宋体"/>
          <w:b/>
          <w:color w:val="000000"/>
          <w:kern w:val="0"/>
          <w:szCs w:val="21"/>
        </w:rPr>
        <w:t>，将共同构成客户与嘉善农商银行之间的理财计划交易合同。</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6. 投资者在认购本产品后，应随时关注本产品的信息披露情况，及时获取相关信息。如对本产品有任何疑问、异议或意见，请联系嘉善农商银行客户经理或反馈至银行营业网点。</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7. 嘉善农商银行有权依法对本产品说明书进行解释。</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释义</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本说明书中，除非另有明确说明，否则下列词语或简称具有如下含义：</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产品/理财计划：指嘉善农商银行“丰收·善盈”</w:t>
      </w:r>
      <w:r>
        <w:rPr>
          <w:rFonts w:ascii="宋体" w:hAnsi="宋体" w:eastAsia="宋体" w:cs="宋体"/>
          <w:color w:val="000000"/>
          <w:kern w:val="0"/>
          <w:szCs w:val="21"/>
        </w:rPr>
        <w:t>2024年第68期</w:t>
      </w:r>
      <w:r>
        <w:rPr>
          <w:rFonts w:hint="eastAsia" w:ascii="宋体" w:hAnsi="宋体" w:eastAsia="宋体" w:cs="宋体"/>
          <w:color w:val="000000"/>
          <w:kern w:val="0"/>
          <w:szCs w:val="21"/>
        </w:rPr>
        <w:t>净值型封闭式银行理财计划。</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发行银行：指浙江嘉善农村商业银行股份有限公司。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销售银行：指浙江嘉善农村商业银行股份有限公司。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产品管理人：指浙江嘉善农村商业银行股份有限公司。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产品托管人：指招商银行股份有限公司杭州分行。</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理财产品认购期：是指银行接受客户认购本理财产品的起止期限。</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工作日：除双休日和国家法定假日外的法定工作日。</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投资周期：本理财产品投资周期是指产品成立日（含）至产品到期日（不含）之间的时间。</w:t>
      </w:r>
    </w:p>
    <w:p>
      <w:pPr>
        <w:numPr>
          <w:ilvl w:val="0"/>
          <w:numId w:val="1"/>
        </w:numPr>
        <w:spacing w:line="520" w:lineRule="exact"/>
        <w:rPr>
          <w:rFonts w:ascii="宋体" w:hAnsi="宋体" w:eastAsia="宋体" w:cs="Cambria"/>
          <w:b/>
          <w:bCs/>
          <w:kern w:val="28"/>
          <w:sz w:val="28"/>
          <w:szCs w:val="28"/>
        </w:rPr>
      </w:pPr>
      <w:r>
        <w:rPr>
          <w:rFonts w:hint="eastAsia" w:ascii="宋体" w:hAnsi="宋体" w:eastAsia="宋体" w:cs="宋体"/>
          <w:b/>
          <w:bCs/>
          <w:kern w:val="28"/>
          <w:sz w:val="28"/>
          <w:szCs w:val="28"/>
        </w:rPr>
        <w:t>产品风险等级：PR2</w:t>
      </w:r>
    </w:p>
    <w:p>
      <w:pPr>
        <w:autoSpaceDE w:val="0"/>
        <w:autoSpaceDN w:val="0"/>
        <w:adjustRightInd w:val="0"/>
        <w:spacing w:line="360" w:lineRule="auto"/>
        <w:jc w:val="left"/>
        <w:rPr>
          <w:rFonts w:ascii="宋体" w:hAnsi="宋体" w:eastAsia="宋体" w:cs="Times New Roman"/>
          <w:color w:val="000000"/>
          <w:kern w:val="0"/>
          <w:sz w:val="22"/>
        </w:rPr>
      </w:pPr>
      <w:r>
        <w:rPr>
          <w:rFonts w:ascii="宋体" w:hAnsi="宋体" w:eastAsia="宋体" w:cs="Times New Roman"/>
          <w:b/>
          <w:bCs/>
          <w:color w:val="000000"/>
          <w:kern w:val="0"/>
          <w:sz w:val="18"/>
          <w:szCs w:val="18"/>
        </w:rPr>
        <mc:AlternateContent>
          <mc:Choice Requires="wpg">
            <w:drawing>
              <wp:inline distT="0" distB="0" distL="0" distR="0">
                <wp:extent cx="5829300" cy="2514600"/>
                <wp:effectExtent l="0" t="0" r="0" b="0"/>
                <wp:docPr id="23" name="Group 2"/>
                <wp:cNvGraphicFramePr/>
                <a:graphic xmlns:a="http://schemas.openxmlformats.org/drawingml/2006/main">
                  <a:graphicData uri="http://schemas.microsoft.com/office/word/2010/wordprocessingGroup">
                    <wpg:wgp>
                      <wpg:cNvGrpSpPr/>
                      <wpg:grpSpPr>
                        <a:xfrm>
                          <a:off x="0" y="0"/>
                          <a:ext cx="5829300" cy="2514600"/>
                          <a:chOff x="0" y="0"/>
                          <a:chExt cx="6929" cy="3159"/>
                        </a:xfrm>
                      </wpg:grpSpPr>
                      <wps:wsp>
                        <wps:cNvPr id="24" name="Picture 3"/>
                        <wps:cNvSpPr>
                          <a:spLocks noChangeAspect="1" noChangeArrowheads="1" noTextEdit="1"/>
                        </wps:cNvSpPr>
                        <wps:spPr bwMode="auto">
                          <a:xfrm>
                            <a:off x="0" y="0"/>
                            <a:ext cx="6929" cy="3159"/>
                          </a:xfrm>
                          <a:prstGeom prst="rect">
                            <a:avLst/>
                          </a:prstGeom>
                          <a:noFill/>
                          <a:ln>
                            <a:noFill/>
                          </a:ln>
                        </wps:spPr>
                        <wps:bodyPr rot="0" vert="horz" wrap="square" lIns="91440" tIns="45720" rIns="91440" bIns="45720" anchor="t" anchorCtr="0" upright="1">
                          <a:noAutofit/>
                        </wps:bodyPr>
                      </wps:wsp>
                      <wps:wsp>
                        <wps:cNvPr id="25" name="Line 4"/>
                        <wps:cNvCnPr>
                          <a:cxnSpLocks noChangeShapeType="1"/>
                        </wps:cNvCnPr>
                        <wps:spPr bwMode="auto">
                          <a:xfrm>
                            <a:off x="544" y="2691"/>
                            <a:ext cx="5026" cy="1"/>
                          </a:xfrm>
                          <a:prstGeom prst="line">
                            <a:avLst/>
                          </a:prstGeom>
                          <a:noFill/>
                          <a:ln w="9525">
                            <a:solidFill>
                              <a:srgbClr val="000000"/>
                            </a:solidFill>
                            <a:round/>
                            <a:tailEnd type="triangle" w="med" len="med"/>
                          </a:ln>
                        </wps:spPr>
                        <wps:bodyPr/>
                      </wps:wsp>
                      <wps:wsp>
                        <wps:cNvPr id="26" name="Line 5"/>
                        <wps:cNvCnPr>
                          <a:cxnSpLocks noChangeShapeType="1"/>
                        </wps:cNvCnPr>
                        <wps:spPr bwMode="auto">
                          <a:xfrm flipV="1">
                            <a:off x="815" y="234"/>
                            <a:ext cx="0" cy="2574"/>
                          </a:xfrm>
                          <a:prstGeom prst="line">
                            <a:avLst/>
                          </a:prstGeom>
                          <a:noFill/>
                          <a:ln w="9525">
                            <a:solidFill>
                              <a:srgbClr val="000000"/>
                            </a:solidFill>
                            <a:round/>
                            <a:tailEnd type="triangle" w="med" len="med"/>
                          </a:ln>
                        </wps:spPr>
                        <wps:bodyPr/>
                      </wps:wsp>
                      <wps:wsp>
                        <wps:cNvPr id="27" name="Rectangle 6"/>
                        <wps:cNvSpPr>
                          <a:spLocks noChangeArrowheads="1"/>
                        </wps:cNvSpPr>
                        <wps:spPr bwMode="auto">
                          <a:xfrm>
                            <a:off x="951" y="2223"/>
                            <a:ext cx="544" cy="351"/>
                          </a:xfrm>
                          <a:prstGeom prst="rect">
                            <a:avLst/>
                          </a:prstGeom>
                          <a:solidFill>
                            <a:srgbClr val="FFFFFF"/>
                          </a:solidFill>
                          <a:ln w="9525">
                            <a:solidFill>
                              <a:srgbClr val="000000"/>
                            </a:solidFill>
                            <a:miter lim="800000"/>
                          </a:ln>
                        </wps:spPr>
                        <wps:txbx>
                          <w:txbxContent>
                            <w:p>
                              <w:pPr>
                                <w:rPr>
                                  <w:b/>
                                  <w:bCs/>
                                </w:rPr>
                              </w:pPr>
                              <w:r>
                                <w:rPr>
                                  <w:rFonts w:hint="eastAsia"/>
                                  <w:b/>
                                  <w:bCs/>
                                </w:rPr>
                                <w:t>PR1</w:t>
                              </w:r>
                            </w:p>
                          </w:txbxContent>
                        </wps:txbx>
                        <wps:bodyPr rot="0" vert="horz" wrap="square" lIns="91440" tIns="45720" rIns="91440" bIns="45720" anchor="t" anchorCtr="0" upright="1">
                          <a:noAutofit/>
                        </wps:bodyPr>
                      </wps:wsp>
                      <wps:wsp>
                        <wps:cNvPr id="28" name="Rectangle 7"/>
                        <wps:cNvSpPr>
                          <a:spLocks noChangeArrowheads="1"/>
                        </wps:cNvSpPr>
                        <wps:spPr bwMode="auto">
                          <a:xfrm>
                            <a:off x="1495" y="1872"/>
                            <a:ext cx="543" cy="351"/>
                          </a:xfrm>
                          <a:prstGeom prst="rect">
                            <a:avLst/>
                          </a:prstGeom>
                          <a:noFill/>
                          <a:ln w="9525">
                            <a:solidFill>
                              <a:srgbClr val="000000"/>
                            </a:solidFill>
                            <a:miter lim="800000"/>
                          </a:ln>
                        </wps:spPr>
                        <wps:txbx>
                          <w:txbxContent>
                            <w:p>
                              <w:pPr>
                                <w:ind w:firstLine="103" w:firstLineChars="49"/>
                                <w:rPr>
                                  <w:rFonts w:cs="Times New Roman"/>
                                  <w:b/>
                                  <w:bCs/>
                                </w:rPr>
                              </w:pPr>
                              <w:ins w:id="0" w:author="hz206437" w:date="2020-05-20T11:42:00Z">
                                <w:r>
                                  <w:rPr>
                                    <w:b/>
                                    <w:bCs/>
                                  </w:rPr>
                                  <w:t>PR</w:t>
                                </w:r>
                              </w:ins>
                              <w:r>
                                <w:rPr>
                                  <w:b/>
                                  <w:bCs/>
                                </w:rPr>
                                <w:t>2</w:t>
                              </w:r>
                            </w:p>
                          </w:txbxContent>
                        </wps:txbx>
                        <wps:bodyPr rot="0" vert="horz" wrap="square" lIns="91440" tIns="45720" rIns="91440" bIns="45720" anchor="t" anchorCtr="0" upright="1">
                          <a:noAutofit/>
                        </wps:bodyPr>
                      </wps:wsp>
                      <wps:wsp>
                        <wps:cNvPr id="29" name="Rectangle 8"/>
                        <wps:cNvSpPr>
                          <a:spLocks noChangeArrowheads="1"/>
                        </wps:cNvSpPr>
                        <wps:spPr bwMode="auto">
                          <a:xfrm>
                            <a:off x="2038" y="1521"/>
                            <a:ext cx="543"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3</w:t>
                              </w:r>
                            </w:p>
                            <w:p/>
                          </w:txbxContent>
                        </wps:txbx>
                        <wps:bodyPr rot="0" vert="horz" wrap="square" lIns="91440" tIns="45720" rIns="91440" bIns="45720" anchor="t" anchorCtr="0" upright="1">
                          <a:noAutofit/>
                        </wps:bodyPr>
                      </wps:wsp>
                      <wps:wsp>
                        <wps:cNvPr id="30" name="Rectangle 9"/>
                        <wps:cNvSpPr>
                          <a:spLocks noChangeArrowheads="1"/>
                        </wps:cNvSpPr>
                        <wps:spPr bwMode="auto">
                          <a:xfrm>
                            <a:off x="1495" y="1872"/>
                            <a:ext cx="544" cy="351"/>
                          </a:xfrm>
                          <a:prstGeom prst="rect">
                            <a:avLst/>
                          </a:prstGeom>
                          <a:solidFill>
                            <a:srgbClr val="FFFF00"/>
                          </a:solidFill>
                          <a:ln w="9525">
                            <a:solidFill>
                              <a:srgbClr val="000000"/>
                            </a:solidFill>
                            <a:miter lim="800000"/>
                          </a:ln>
                        </wps:spPr>
                        <wps:txbx>
                          <w:txbxContent>
                            <w:p>
                              <w:pPr>
                                <w:rPr>
                                  <w:rFonts w:cs="Times New Roman"/>
                                  <w:b/>
                                  <w:bCs/>
                                </w:rPr>
                              </w:pPr>
                              <w:r>
                                <w:rPr>
                                  <w:rFonts w:hint="eastAsia"/>
                                  <w:b/>
                                  <w:bCs/>
                                </w:rPr>
                                <w:t>PR</w:t>
                              </w:r>
                              <w:r>
                                <w:rPr>
                                  <w:b/>
                                  <w:bCs/>
                                </w:rPr>
                                <w:t>2</w:t>
                              </w:r>
                            </w:p>
                          </w:txbxContent>
                        </wps:txbx>
                        <wps:bodyPr rot="0" vert="horz" wrap="square" lIns="91440" tIns="45720" rIns="91440" bIns="45720" anchor="t" anchorCtr="0" upright="1">
                          <a:noAutofit/>
                        </wps:bodyPr>
                      </wps:wsp>
                      <wps:wsp>
                        <wps:cNvPr id="31" name="Rectangle 10"/>
                        <wps:cNvSpPr>
                          <a:spLocks noChangeArrowheads="1"/>
                        </wps:cNvSpPr>
                        <wps:spPr bwMode="auto">
                          <a:xfrm>
                            <a:off x="3125" y="819"/>
                            <a:ext cx="543"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5</w:t>
                              </w:r>
                            </w:p>
                          </w:txbxContent>
                        </wps:txbx>
                        <wps:bodyPr rot="0" vert="horz" wrap="square" lIns="91440" tIns="45720" rIns="91440" bIns="45720" anchor="t" anchorCtr="0" upright="1">
                          <a:noAutofit/>
                        </wps:bodyPr>
                      </wps:wsp>
                      <wps:wsp>
                        <wps:cNvPr id="32" name="Rectangle 11"/>
                        <wps:cNvSpPr>
                          <a:spLocks noChangeArrowheads="1"/>
                        </wps:cNvSpPr>
                        <wps:spPr bwMode="auto">
                          <a:xfrm>
                            <a:off x="1630" y="2808"/>
                            <a:ext cx="3940" cy="351"/>
                          </a:xfrm>
                          <a:prstGeom prst="rect">
                            <a:avLst/>
                          </a:prstGeom>
                          <a:solidFill>
                            <a:srgbClr val="FFFFFF"/>
                          </a:solidFill>
                          <a:ln>
                            <a:noFill/>
                          </a:ln>
                        </wps:spPr>
                        <wps:txbx>
                          <w:txbxContent>
                            <w:p>
                              <w:pPr>
                                <w:jc w:val="center"/>
                                <w:rPr>
                                  <w:rFonts w:cs="Times New Roman"/>
                                  <w:sz w:val="18"/>
                                  <w:szCs w:val="18"/>
                                </w:rPr>
                              </w:pPr>
                              <w:r>
                                <w:rPr>
                                  <w:rFonts w:hint="eastAsia" w:cs="宋体"/>
                                  <w:sz w:val="18"/>
                                  <w:szCs w:val="18"/>
                                </w:rPr>
                                <w:t>风险程度</w:t>
                              </w:r>
                            </w:p>
                          </w:txbxContent>
                        </wps:txbx>
                        <wps:bodyPr rot="0" vert="horz" wrap="square" lIns="91440" tIns="45720" rIns="91440" bIns="45720" anchor="t" anchorCtr="0" upright="1">
                          <a:noAutofit/>
                        </wps:bodyPr>
                      </wps:wsp>
                      <wps:wsp>
                        <wps:cNvPr id="33" name="Rectangle 12"/>
                        <wps:cNvSpPr>
                          <a:spLocks noChangeArrowheads="1"/>
                        </wps:cNvSpPr>
                        <wps:spPr bwMode="auto">
                          <a:xfrm>
                            <a:off x="2582" y="1170"/>
                            <a:ext cx="544"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4</w:t>
                              </w:r>
                            </w:p>
                          </w:txbxContent>
                        </wps:txbx>
                        <wps:bodyPr rot="0" vert="horz" wrap="square" lIns="91440" tIns="45720" rIns="91440" bIns="45720" anchor="t" anchorCtr="0" upright="1">
                          <a:noAutofit/>
                        </wps:bodyPr>
                      </wps:wsp>
                    </wpg:wgp>
                  </a:graphicData>
                </a:graphic>
              </wp:inline>
            </w:drawing>
          </mc:Choice>
          <mc:Fallback>
            <w:pict>
              <v:group id="Group 2" o:spid="_x0000_s1026" o:spt="203" style="height:198pt;width:459pt;" coordsize="6929,3159" o:gfxdata="UEsDBAoAAAAAAIdO4kAAAAAAAAAAAAAAAAAEAAAAZHJzL1BLAwQUAAAACACHTuJAhPOFjtYAAAAF&#10;AQAADwAAAGRycy9kb3ducmV2LnhtbE2PQUvDQBCF74L/YRnBm91di6VNsylS1FMRbAXpbZqdJqHZ&#10;3ZDdJu2/d/SilwePN7z3Tb66uFYM1McmeAN6okCQL4NtfGXgc/f6MAcRE3qLbfBk4EoRVsXtTY6Z&#10;DaP/oGGbKsElPmZooE6py6SMZU0O4yR05Dk7ht5hYttX0vY4crlr5aNSM+mw8bxQY0frmsrT9uwM&#10;vI04Pk/1y7A5HdfX/e7p/WujyZj7O62WIBJd0t8x/OAzOhTMdAhnb6NoDfAj6Vc5W+g524OB6WKm&#10;QBa5/E9ffANQSwMEFAAAAAgAh07iQKRELllnBAAAohoAAA4AAABkcnMvZTJvRG9jLnhtbO1ZWW/j&#10;NhB+L9D/QOi9sSVZvhBnsciFAts2aNK+0xIlEZVIlqQjp7++w6Fky06y9XYTY7GwH2zxGs3xzcHx&#10;+Yd1XZFHpg2XYhGEZ8OAMJHKjItiEfzxcPPTNCDGUpHRSgq2CJ6YCT5c/PjDeaPmLJKlrDKmCRAR&#10;Zt6oRVBaq+aDgUlLVlNzJhUTsJhLXVMLQ10MMk0boF5Xg2g4HA8aqTOlZcqMgdkrvxi0FPUhBGWe&#10;85RdyXRVM2E9Vc0qakEkU3JlggvkNs9Zan/Lc8MsqRYBSGrxG14Cz0v3Pbg4p/NCU1XytGWBHsLC&#10;nkw15QJeuiF1RS0lK82fkap5qqWRuT1LZT3wgqBGQIpwuKebWy1XCmUp5k2hNkoHQ+1p/X+TTX99&#10;vNOEZ4sgigMiaA0Wx9eSyOmmUcUcttxqda/udDtR+JETd53r2v2CIGSNWn3aaJWtLUlhMplGs3gI&#10;Ck9hLUrC0RgGqPe0BOM8O5eW1+3J8Sya+WNxmMzcmUH3yoHjbMNIowCLZqsg83UKui+pYqh346Tv&#10;FDTqFHTHU7vSjMReRbjJ6cdpwqhPMv3LECEvSyoK9tEoACE4GhzuprSWTcloBmzi9AOo6jrjuMsJ&#10;6cSB93qSbmCAOFk2v8gMzENXViLWDlH+Z1RI50obe8tkTdzDItDAKBKmj5+M9drutjjRhLzhVYWW&#10;q8TOBJjFzSDjjlcHHDNfyuwJ+NYSaIP5IebAQyn1PwFpwOMWgfl7RTULSPWzAFXMwtHIuSgORskk&#10;goHuryz7K1SkQGoR2ID4x0vr3XqlNC9K1KXn8SPoK+coz5arllkAjef1/dGTdOj5xAUjox50LoWH&#10;TroW93voQSQ+PCkwe4j4b6HhjxwMjWQE2HXeN54hGTrfOOcwGnsX8/Q7/3oGjgq4PhgcpAFzJlGC&#10;B4yseOaQg+6hi+VlpckjdQEZP61f72yDwCcyRJqlvLoWGbGoBKs5OFUFmIE31CwD7DDIYu7J4/VV&#10;GLplp68jWhwU6wMqWjx5f4uTvOLqTwcVp+o2Jk9DQJ6zfYyY25p+E5EnuLAJrSfTf0GKfiVVTDrT&#10;/w4xFRFLxj37v5osdjJDB9kvTwWzBPKKs3kEWR3daOPvLhK4RBzDFu8yXRrpQv2B2WDHX03frW/w&#10;01Lf2VaJr44MNbdQfla8XgTTfvh4wfHterkGEbdB/5SKfKUHFb4PTFt0To6IznA08yEpnE6wytzG&#10;pGQEVeibwHOnWDmh7hsogKCU30fd9Iioi4Yx4B4iX5hE+0XQCXXfa9kdQ5Wzjzq8SbaF9Htn4s/G&#10;uuOkYn/bhvLulIq/uVth7O7/2HTZpuIQuyNHwmccwi3NRcVpiG5xSsX9jsN32ouIoxdQhznxSKgL&#10;xy4uuwvKdIg1wBZ28cw1gd6kBNyJdwffUA5obJ0uFi9fe+NNC7kXzdo+cq+j+UKT9I3uvRH0mn2N&#10;F07aHvPbX3xPN4u2wSTkf7ZWsU0Pf11A823nv5H+GBtz27+WL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hPOFjtYAAAAFAQAADwAAAAAAAAABACAAAAAiAAAAZHJzL2Rvd25yZXYueG1sUEsBAhQA&#10;FAAAAAgAh07iQKRELllnBAAAohoAAA4AAAAAAAAAAQAgAAAAJQEAAGRycy9lMm9Eb2MueG1sUEsF&#10;BgAAAAAGAAYAWQEAAP4HAAAAAA==&#10;">
                <o:lock v:ext="edit" aspectratio="f"/>
                <v:rect id="Picture 3" o:spid="_x0000_s1026" o:spt="1" style="position:absolute;left:0;top:0;height:3159;width:6929;" filled="f" stroked="f" coordsize="21600,21600"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v:fill on="f" focussize="0,0"/>
                  <v:stroke on="f"/>
                  <v:imagedata o:title=""/>
                  <o:lock v:ext="edit" text="t" aspectratio="t"/>
                </v:rect>
                <v:line id="Line 4" o:spid="_x0000_s1026" o:spt="20" style="position:absolute;left:544;top:2691;height:1;width:5026;"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 o:spid="_x0000_s1026" o:spt="20" style="position:absolute;left:815;top:234;flip:y;height:2574;width:0;"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6" o:spid="_x0000_s1026" o:spt="1" style="position:absolute;left:951;top:2223;height:351;width:544;"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b/>
                            <w:bCs/>
                          </w:rPr>
                        </w:pPr>
                        <w:r>
                          <w:rPr>
                            <w:rFonts w:hint="eastAsia"/>
                            <w:b/>
                            <w:bCs/>
                          </w:rPr>
                          <w:t>PR1</w:t>
                        </w:r>
                      </w:p>
                    </w:txbxContent>
                  </v:textbox>
                </v:rect>
                <v:rect id="Rectangle 7" o:spid="_x0000_s1026" o:spt="1" style="position:absolute;left:1495;top:1872;height:351;width:543;" filled="f" stroked="t" coordsize="21600,21600" o:gfxdata="UEsDBAoAAAAAAIdO4kAAAAAAAAAAAAAAAAAEAAAAZHJzL1BLAwQUAAAACACHTuJAP/Ts5LoAAADb&#10;AAAADwAAAGRycy9kb3ducmV2LnhtbEVPW2vCMBR+F/wP4Qh7s2kLE+kaxY0JexK8wLa3Q3OWFJuT&#10;0mRW/715EHz8+O71+uo6caEhtJ4VFFkOgrjxumWj4HTczpcgQkTW2HkmBTcKsF5NJzVW2o+8p8sh&#10;GpFCOFSowMbYV1KGxpLDkPmeOHF/fnAYExyM1AOOKdx1sszzhXTYcmqw2NOHpeZ8+HcKPvvf3ebV&#10;BLn5jvbn7N/Hrd0ZpV5mRf4GItI1PsUP95dWUKax6Uv6AX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Ozk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textbox>
                    <w:txbxContent>
                      <w:p>
                        <w:pPr>
                          <w:ind w:firstLine="103" w:firstLineChars="49"/>
                          <w:rPr>
                            <w:rFonts w:cs="Times New Roman"/>
                            <w:b/>
                            <w:bCs/>
                          </w:rPr>
                        </w:pPr>
                        <w:ins w:id="1" w:author="hz206437" w:date="2020-05-20T11:42:00Z">
                          <w:r>
                            <w:rPr>
                              <w:b/>
                              <w:bCs/>
                            </w:rPr>
                            <w:t>PR</w:t>
                          </w:r>
                        </w:ins>
                        <w:r>
                          <w:rPr>
                            <w:b/>
                            <w:bCs/>
                          </w:rPr>
                          <w:t>2</w:t>
                        </w:r>
                      </w:p>
                    </w:txbxContent>
                  </v:textbox>
                </v:rect>
                <v:rect id="Rectangle 8" o:spid="_x0000_s1026" o:spt="1" style="position:absolute;left:2038;top:1521;height:351;width:543;" filled="f" stroked="t" coordsize="21600,21600" o:gfxdata="UEsDBAoAAAAAAIdO4kAAAAAAAAAAAAAAAAAEAAAAZHJzL1BLAwQUAAAACACHTuJAULhJf70AAADb&#10;AAAADwAAAGRycy9kb3ducmV2LnhtbEWPQWvCQBSE7wX/w/IK3upGwVKja4ilgqdAVWi9PbKvu8Hs&#10;25BdTfrvu4VCj8PMfMNsitG14k59aDwrmM8yEMS11w0bBefT/ukFRIjIGlvPpOCbAhTbycMGc+0H&#10;fqf7MRqRIBxyVGBj7HIpQ23JYZj5jjh5X753GJPsjdQ9DgnuWrnIsmfpsOG0YLGjV0v19XhzCt66&#10;S1UuTZDlR7SfV78b9rYySk0f59kaRKQx/of/2getYLG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uEl/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rFonts w:cs="Times New Roman"/>
                            <w:b/>
                            <w:bCs/>
                          </w:rPr>
                        </w:pPr>
                        <w:r>
                          <w:rPr>
                            <w:rFonts w:hint="eastAsia"/>
                            <w:b/>
                            <w:bCs/>
                          </w:rPr>
                          <w:t>PR</w:t>
                        </w:r>
                        <w:r>
                          <w:rPr>
                            <w:b/>
                            <w:bCs/>
                          </w:rPr>
                          <w:t>3</w:t>
                        </w:r>
                      </w:p>
                      <w:p/>
                    </w:txbxContent>
                  </v:textbox>
                </v:rect>
                <v:rect id="Rectangle 9" o:spid="_x0000_s1026" o:spt="1" style="position:absolute;left:1495;top:1872;height:351;width:544;" fillcolor="#FFFF00" filled="t" stroked="t" coordsize="21600,21600" o:gfxdata="UEsDBAoAAAAAAIdO4kAAAAAAAAAAAAAAAAAEAAAAZHJzL1BLAwQUAAAACACHTuJA0aQzKbsAAADb&#10;AAAADwAAAGRycy9kb3ducmV2LnhtbEVPPW/CMBDdkfofrKvEBg6gojTFYQCK6IIgIOZTfCRR4nMU&#10;uyT8+3qoxPj0vlfrwTTiQZ2rLCuYTSMQxLnVFRcKrpfvSQzCeWSNjWVS8CQH6/RttMJE257P9Mh8&#10;IUIIuwQVlN63iZQuL8mgm9qWOHB32xn0AXaF1B32Idw0ch5FS2mw4tBQYkubkvI6+zUK9tf2p842&#10;z3l8PH3ssnh7+7wfb0qN32fRFwhPg3+J/90HrWAR1ocv4QfI9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aQzK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cs="Times New Roman"/>
                            <w:b/>
                            <w:bCs/>
                          </w:rPr>
                        </w:pPr>
                        <w:r>
                          <w:rPr>
                            <w:rFonts w:hint="eastAsia"/>
                            <w:b/>
                            <w:bCs/>
                          </w:rPr>
                          <w:t>PR</w:t>
                        </w:r>
                        <w:r>
                          <w:rPr>
                            <w:b/>
                            <w:bCs/>
                          </w:rPr>
                          <w:t>2</w:t>
                        </w:r>
                      </w:p>
                    </w:txbxContent>
                  </v:textbox>
                </v:rect>
                <v:rect id="Rectangle 10" o:spid="_x0000_s1026" o:spt="1" style="position:absolute;left:3125;top:819;height:351;width:543;" filled="f" stroked="t" coordsize="21600,21600" o:gfxdata="UEsDBAoAAAAAAIdO4kAAAAAAAAAAAAAAAAAEAAAAZHJzL1BLAwQUAAAACACHTuJAKxfTpL0AAADb&#10;AAAADwAAAGRycy9kb3ducmV2LnhtbEWPQWsCMRSE74L/ITyhN81ui1JW42JLhZ6EqlC9PTbPZNnN&#10;y7JJXfvvG6HgcZiZb5hVeXOtuFIfas8K8lkGgrjyumaj4HjYTl9BhIissfVMCn4pQLkej1ZYaD/w&#10;F1330YgE4VCgAhtjV0gZKksOw8x3xMm7+N5hTLI3Uvc4JLhr5XOWLaTDmtOCxY7eLVXN/scp+OjO&#10;u83cBLn5jvbU+Ldha3dGqadJni1BRLrFR/i//akVv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9Ok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rFonts w:cs="Times New Roman"/>
                            <w:b/>
                            <w:bCs/>
                          </w:rPr>
                        </w:pPr>
                        <w:r>
                          <w:rPr>
                            <w:rFonts w:hint="eastAsia"/>
                            <w:b/>
                            <w:bCs/>
                          </w:rPr>
                          <w:t>PR</w:t>
                        </w:r>
                        <w:r>
                          <w:rPr>
                            <w:b/>
                            <w:bCs/>
                          </w:rPr>
                          <w:t>5</w:t>
                        </w:r>
                      </w:p>
                    </w:txbxContent>
                  </v:textbox>
                </v:rect>
                <v:rect id="Rectangle 11" o:spid="_x0000_s1026" o:spt="1" style="position:absolute;left:1630;top:2808;height:351;width:3940;" fillcolor="#FFFFFF" filled="t" stroked="f" coordsize="21600,21600" o:gfxdata="UEsDBAoAAAAAAIdO4kAAAAAAAAAAAAAAAAAEAAAAZHJzL1BLAwQUAAAACACHTuJAcvCvpbwAAADb&#10;AAAADwAAAGRycy9kb3ducmV2LnhtbEWPT4vCMBTE74LfITxhb5r4r6zV6EEQhNWDVdjro3m2xeal&#10;NlG7334jLOxxmJnfMKtNZ2vxpNZXjjWMRwoEce5MxYWGy3k3/AThA7LB2jFp+CEPm3W/t8LUuBef&#10;6JmFQkQI+xQ1lCE0qZQ+L8miH7mGOHpX11oMUbaFNC2+ItzWcqJUIi1WHBdKbGhbUn7LHlYDJjNz&#10;P16nh/PXI8FF0and/Ftp/TEYqyWIQF34D/+190bDdAL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wr6W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rFonts w:cs="Times New Roman"/>
                            <w:sz w:val="18"/>
                            <w:szCs w:val="18"/>
                          </w:rPr>
                        </w:pPr>
                        <w:r>
                          <w:rPr>
                            <w:rFonts w:hint="eastAsia" w:cs="宋体"/>
                            <w:sz w:val="18"/>
                            <w:szCs w:val="18"/>
                          </w:rPr>
                          <w:t>风险程度</w:t>
                        </w:r>
                      </w:p>
                    </w:txbxContent>
                  </v:textbox>
                </v:rect>
                <v:rect id="Rectangle 12" o:spid="_x0000_s1026" o:spt="1" style="position:absolute;left:2582;top:1170;height:351;width:544;" filled="f" stroked="t" coordsize="21600,21600" o:gfxdata="UEsDBAoAAAAAAIdO4kAAAAAAAAAAAAAAAAAEAAAAZHJzL1BLAwQUAAAACACHTuJAtInoSLsAAADb&#10;AAAADwAAAGRycy9kb3ducmV2LnhtbEWPQWsCMRSE74L/ITzBm2atWG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noSL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rPr>
                            <w:rFonts w:cs="Times New Roman"/>
                            <w:b/>
                            <w:bCs/>
                          </w:rPr>
                        </w:pPr>
                        <w:r>
                          <w:rPr>
                            <w:rFonts w:hint="eastAsia"/>
                            <w:b/>
                            <w:bCs/>
                          </w:rPr>
                          <w:t>PR</w:t>
                        </w:r>
                        <w:r>
                          <w:rPr>
                            <w:b/>
                            <w:bCs/>
                          </w:rPr>
                          <w:t>4</w:t>
                        </w:r>
                      </w:p>
                    </w:txbxContent>
                  </v:textbox>
                </v:rect>
                <w10:wrap type="none"/>
                <w10:anchorlock/>
              </v:group>
            </w:pict>
          </mc:Fallback>
        </mc:AlternateConten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风险评级由嘉善农商银行根据产品投资对象、实际的风险控制情况、投资运作情况等合理确定。根据嘉善农商银行内部风险评级标准，本产品的风险等级为PR2，较低风险。该评级仅是嘉善农商银行内部测评结果，仅供投资者参考，不具有任何法律约束力。</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产品投资</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（一）投资范围</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本理财产品为固定收益类产品，本金主要投资于以下符合监管要求的各类资产：</w:t>
      </w:r>
    </w:p>
    <w:p>
      <w:pPr>
        <w:autoSpaceDE w:val="0"/>
        <w:autoSpaceDN w:val="0"/>
        <w:spacing w:line="52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（二）投资比例</w:t>
      </w:r>
    </w:p>
    <w:tbl>
      <w:tblPr>
        <w:tblStyle w:val="2"/>
        <w:tblW w:w="8414" w:type="dxa"/>
        <w:jc w:val="center"/>
        <w:tblLayout w:type="autofit"/>
        <w:tblCellMar>
          <w:top w:w="0" w:type="dxa"/>
          <w:left w:w="108" w:type="dxa"/>
          <w:bottom w:w="0" w:type="dxa"/>
          <w:right w:w="108" w:type="dxa"/>
        </w:tblCellMar>
      </w:tblPr>
      <w:tblGrid>
        <w:gridCol w:w="1367"/>
        <w:gridCol w:w="3027"/>
        <w:gridCol w:w="4020"/>
      </w:tblGrid>
      <w:tr>
        <w:tblPrEx>
          <w:tblCellMar>
            <w:top w:w="0" w:type="dxa"/>
            <w:left w:w="108" w:type="dxa"/>
            <w:bottom w:w="0" w:type="dxa"/>
            <w:right w:w="108" w:type="dxa"/>
          </w:tblCellMar>
        </w:tblPrEx>
        <w:trPr>
          <w:trHeight w:val="390"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资产类别</w:t>
            </w:r>
          </w:p>
        </w:tc>
        <w:tc>
          <w:tcPr>
            <w:tcW w:w="3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资产种类</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投资比例</w:t>
            </w:r>
          </w:p>
        </w:tc>
      </w:tr>
      <w:tr>
        <w:tblPrEx>
          <w:tblCellMar>
            <w:top w:w="0" w:type="dxa"/>
            <w:left w:w="108" w:type="dxa"/>
            <w:bottom w:w="0" w:type="dxa"/>
            <w:right w:w="108" w:type="dxa"/>
          </w:tblCellMar>
        </w:tblPrEx>
        <w:trPr>
          <w:trHeight w:val="390" w:hRule="atLeast"/>
          <w:jc w:val="center"/>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固定收益类</w:t>
            </w: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现金等货币市场工具类</w:t>
            </w:r>
          </w:p>
        </w:tc>
        <w:tc>
          <w:tcPr>
            <w:tcW w:w="40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0-20%</w:t>
            </w:r>
          </w:p>
        </w:tc>
      </w:tr>
      <w:tr>
        <w:tblPrEx>
          <w:tblCellMar>
            <w:top w:w="0" w:type="dxa"/>
            <w:left w:w="108" w:type="dxa"/>
            <w:bottom w:w="0" w:type="dxa"/>
            <w:right w:w="108" w:type="dxa"/>
          </w:tblCellMar>
        </w:tblPrEx>
        <w:trPr>
          <w:trHeight w:val="39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债券类</w:t>
            </w:r>
          </w:p>
        </w:tc>
        <w:tc>
          <w:tcPr>
            <w:tcW w:w="4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80%-100%</w:t>
            </w:r>
          </w:p>
        </w:tc>
      </w:tr>
      <w:tr>
        <w:tblPrEx>
          <w:tblCellMar>
            <w:top w:w="0" w:type="dxa"/>
            <w:left w:w="108" w:type="dxa"/>
            <w:bottom w:w="0" w:type="dxa"/>
            <w:right w:w="108" w:type="dxa"/>
          </w:tblCellMar>
        </w:tblPrEx>
        <w:trPr>
          <w:trHeight w:val="39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符合监管要求的债权类资产、资产管理产品</w:t>
            </w:r>
          </w:p>
        </w:tc>
        <w:tc>
          <w:tcPr>
            <w:tcW w:w="4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bl>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（三）投资策略</w:t>
      </w:r>
    </w:p>
    <w:p>
      <w:pPr>
        <w:autoSpaceDE w:val="0"/>
        <w:autoSpaceDN w:val="0"/>
        <w:adjustRightInd w:val="0"/>
        <w:spacing w:line="360" w:lineRule="auto"/>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本产品还可能根据市场行情，在监管政策允许的范围内，在适当的时机投资不高于理财产品募集总金额20%的资金于权益类资产。</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产品概述</w:t>
      </w:r>
    </w:p>
    <w:tbl>
      <w:tblPr>
        <w:tblStyle w:val="2"/>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81"/>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产品名称</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嘉善农商银行“丰收·善盈”</w:t>
            </w:r>
            <w:r>
              <w:rPr>
                <w:rFonts w:ascii="宋体" w:hAnsi="宋体" w:eastAsia="宋体" w:cs="宋体"/>
                <w:color w:val="000000"/>
                <w:kern w:val="0"/>
                <w:sz w:val="18"/>
                <w:szCs w:val="18"/>
              </w:rPr>
              <w:t>2024年第68期</w:t>
            </w:r>
            <w:r>
              <w:rPr>
                <w:rFonts w:hint="eastAsia" w:ascii="宋体" w:hAnsi="宋体" w:eastAsia="宋体" w:cs="宋体"/>
                <w:color w:val="000000"/>
                <w:kern w:val="0"/>
                <w:sz w:val="18"/>
                <w:szCs w:val="18"/>
              </w:rPr>
              <w:t>净值型封闭式理财产品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产品编号</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ascii="宋体" w:hAnsi="宋体" w:eastAsia="宋体" w:cs="Times New Roman"/>
                <w:color w:val="000000"/>
                <w:kern w:val="0"/>
                <w:sz w:val="18"/>
                <w:szCs w:val="18"/>
              </w:rPr>
              <w:t>JXJSFSSY2024068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产品登记编码</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该产品在全国银行业理财信息登记系统的登记编码是</w:t>
            </w:r>
            <w:r>
              <w:rPr>
                <w:rFonts w:hint="eastAsia" w:ascii="宋体" w:hAnsi="宋体" w:eastAsia="宋体" w:cs="宋体"/>
                <w:color w:val="000000"/>
                <w:kern w:val="0"/>
                <w:sz w:val="18"/>
                <w:szCs w:val="18"/>
                <w:lang w:val="en-US" w:eastAsia="zh-CN"/>
              </w:rPr>
              <w:t>C1404824000016</w:t>
            </w:r>
            <w:r>
              <w:rPr>
                <w:rFonts w:hint="eastAsia" w:ascii="宋体" w:hAnsi="宋体" w:eastAsia="宋体" w:cs="宋体"/>
                <w:color w:val="000000"/>
                <w:kern w:val="0"/>
                <w:sz w:val="18"/>
                <w:szCs w:val="18"/>
              </w:rPr>
              <w:t>，客户可依据该编码在“中国理财网（</w:t>
            </w:r>
            <w:r>
              <w:rPr>
                <w:rFonts w:ascii="宋体" w:hAnsi="宋体" w:eastAsia="宋体" w:cs="宋体"/>
                <w:color w:val="000000"/>
                <w:kern w:val="0"/>
                <w:sz w:val="18"/>
                <w:szCs w:val="18"/>
              </w:rPr>
              <w:t>www.chinawealth.com.cn</w:t>
            </w:r>
            <w:r>
              <w:rPr>
                <w:rFonts w:hint="eastAsia" w:ascii="宋体" w:hAnsi="宋体" w:eastAsia="宋体" w:cs="宋体"/>
                <w:color w:val="000000"/>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适用客户</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本理财产品适合机构投资者及稳健型、平衡型、成长型、进取型的个人投资者。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销售渠道</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个人客户可通过嘉善农商银行的营业网点、丰收互联等渠道购买。</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机构客户可通过嘉善农商银行的营业网点渠道购买。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交易币种</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起点认购金额</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个人投资者认购起点金额1万元整，并以1千元的整数倍递增；机构投资者（即机构客户）认购起点金额50万元整,并以1万元的整数倍递增。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产品类型</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投资性质</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产品规模</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规模下限为30万元，规模上限为</w:t>
            </w:r>
            <w:r>
              <w:rPr>
                <w:rFonts w:ascii="宋体" w:hAnsi="宋体" w:eastAsia="宋体" w:cs="宋体"/>
                <w:color w:val="000000"/>
                <w:kern w:val="0"/>
                <w:sz w:val="18"/>
                <w:szCs w:val="18"/>
              </w:rPr>
              <w:t>1亿</w:t>
            </w:r>
            <w:r>
              <w:rPr>
                <w:rFonts w:hint="eastAsia" w:ascii="宋体" w:hAnsi="宋体" w:eastAsia="宋体" w:cs="宋体"/>
                <w:color w:val="000000"/>
                <w:kern w:val="0"/>
                <w:sz w:val="18"/>
                <w:szCs w:val="18"/>
              </w:rPr>
              <w:t>元。若认购金额未达规模下限则产品不成立，发行银行有权根据市场行情暂停接受认购申请。嘉善农商银行有权对本理财产品规模上限进行调整。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产品认购期</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ascii="宋体" w:hAnsi="宋体" w:eastAsia="宋体" w:cs="宋体"/>
                <w:color w:val="000000"/>
                <w:kern w:val="0"/>
                <w:sz w:val="18"/>
                <w:szCs w:val="18"/>
              </w:rPr>
              <w:t>2024年07月17日</w:t>
            </w:r>
            <w:r>
              <w:rPr>
                <w:rFonts w:hint="eastAsia" w:ascii="宋体" w:hAnsi="宋体" w:eastAsia="宋体" w:cs="宋体"/>
                <w:color w:val="000000"/>
                <w:kern w:val="0"/>
                <w:sz w:val="18"/>
                <w:szCs w:val="18"/>
              </w:rPr>
              <w:t>至</w:t>
            </w:r>
            <w:r>
              <w:rPr>
                <w:rFonts w:ascii="宋体" w:hAnsi="宋体" w:eastAsia="宋体" w:cs="宋体"/>
                <w:color w:val="000000"/>
                <w:kern w:val="0"/>
                <w:sz w:val="18"/>
                <w:szCs w:val="18"/>
              </w:rPr>
              <w:t>2024年07月23日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产品成立日</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ascii="宋体" w:hAnsi="宋体" w:eastAsia="宋体" w:cs="宋体"/>
                <w:color w:val="000000"/>
                <w:kern w:val="0"/>
                <w:sz w:val="18"/>
                <w:szCs w:val="18"/>
              </w:rPr>
              <w:t>2024年07月24日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产品到期日</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ascii="宋体" w:hAnsi="宋体" w:eastAsia="宋体" w:cs="宋体"/>
                <w:color w:val="000000"/>
                <w:kern w:val="0"/>
                <w:sz w:val="18"/>
                <w:szCs w:val="18"/>
              </w:rPr>
              <w:t>2024年11月07日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产品期限</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ascii="宋体" w:hAnsi="宋体" w:eastAsia="宋体" w:cs="宋体"/>
                <w:color w:val="000000"/>
                <w:kern w:val="0"/>
                <w:sz w:val="18"/>
                <w:szCs w:val="18"/>
              </w:rPr>
              <w:t>106</w:t>
            </w:r>
            <w:r>
              <w:rPr>
                <w:rFonts w:hint="eastAsia" w:ascii="宋体" w:hAnsi="宋体" w:eastAsia="宋体" w:cs="宋体"/>
                <w:color w:val="000000"/>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资金到账</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单位净值</w:t>
            </w:r>
          </w:p>
        </w:tc>
        <w:tc>
          <w:tcPr>
            <w:tcW w:w="7332" w:type="dxa"/>
            <w:tcMar>
              <w:top w:w="15" w:type="dxa"/>
              <w:left w:w="15" w:type="dxa"/>
              <w:bottom w:w="0" w:type="dxa"/>
              <w:right w:w="15" w:type="dxa"/>
            </w:tcMar>
            <w:vAlign w:val="center"/>
          </w:tcPr>
          <w:p>
            <w:pPr>
              <w:rPr>
                <w:rFonts w:cs="Times New Roman" w:asciiTheme="minorEastAsia" w:hAnsiTheme="minorEastAsia"/>
                <w:color w:val="000000"/>
                <w:kern w:val="0"/>
                <w:sz w:val="18"/>
                <w:szCs w:val="18"/>
              </w:rPr>
            </w:pPr>
            <w:r>
              <w:rPr>
                <w:rFonts w:hint="eastAsia" w:ascii="宋体" w:hAnsi="宋体" w:eastAsia="宋体" w:cs="宋体"/>
                <w:color w:val="000000"/>
                <w:kern w:val="0"/>
                <w:sz w:val="18"/>
                <w:szCs w:val="18"/>
              </w:rPr>
              <w:t>单位净值为提取相关税费后，单位理财计划份额的净值。理财计划单位净值保留至小数点后第8位，小数点8位以后四舍五入。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widowControl/>
              <w:rPr>
                <w:rFonts w:ascii="宋体" w:hAnsi="宋体" w:eastAsia="宋体" w:cs="Times New Roman"/>
                <w:color w:val="000000"/>
                <w:szCs w:val="21"/>
              </w:rPr>
            </w:pPr>
            <w:r>
              <w:rPr>
                <w:rFonts w:hint="eastAsia" w:ascii="宋体" w:hAnsi="宋体" w:eastAsia="宋体" w:cs="宋体"/>
                <w:color w:val="000000"/>
                <w:kern w:val="0"/>
                <w:sz w:val="18"/>
                <w:szCs w:val="18"/>
              </w:rPr>
              <w:t>业绩比较基准</w:t>
            </w:r>
          </w:p>
        </w:tc>
        <w:tc>
          <w:tcPr>
            <w:tcW w:w="7332" w:type="dxa"/>
            <w:tcMar>
              <w:top w:w="15" w:type="dxa"/>
              <w:left w:w="15" w:type="dxa"/>
              <w:bottom w:w="0" w:type="dxa"/>
              <w:right w:w="15" w:type="dxa"/>
            </w:tcMar>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本理财产品业绩比较基准为</w:t>
            </w:r>
            <w:bookmarkStart w:id="0" w:name="_GoBack"/>
            <w:bookmarkEnd w:id="0"/>
            <w:r>
              <w:rPr>
                <w:rFonts w:hint="eastAsia" w:ascii="宋体" w:hAnsi="宋体" w:eastAsia="宋体" w:cs="宋体"/>
                <w:color w:val="000000"/>
                <w:kern w:val="0"/>
                <w:sz w:val="18"/>
                <w:szCs w:val="18"/>
                <w:lang w:eastAsia="zh-CN"/>
              </w:rPr>
              <w:t>1.60</w:t>
            </w:r>
            <w:r>
              <w:rPr>
                <w:rFonts w:hint="eastAsia" w:ascii="宋体" w:hAnsi="宋体" w:eastAsia="宋体" w:cs="宋体"/>
                <w:color w:val="000000"/>
                <w:kern w:val="0"/>
                <w:sz w:val="18"/>
                <w:szCs w:val="18"/>
              </w:rPr>
              <w:t>%。业绩比较基准测算依据：产品重点投资于信用债等资产，并结合一定的杠杆操作和交易策略对组合收益进行增厚。根据当前市场利率水平、组合目标久期、可投资债券的静态收益率、债券杠杆操作等因素作为测算依据，扣除相关税费成本后，综合得出产品的业绩基准为</w:t>
            </w:r>
            <w:r>
              <w:rPr>
                <w:rFonts w:hint="eastAsia" w:ascii="宋体" w:hAnsi="宋体" w:eastAsia="宋体" w:cs="宋体"/>
                <w:color w:val="000000"/>
                <w:kern w:val="0"/>
                <w:sz w:val="18"/>
                <w:szCs w:val="18"/>
                <w:lang w:eastAsia="zh-CN"/>
              </w:rPr>
              <w:t>1.60</w:t>
            </w:r>
            <w:r>
              <w:rPr>
                <w:rFonts w:hint="eastAsia" w:ascii="宋体" w:hAnsi="宋体" w:eastAsia="宋体" w:cs="宋体"/>
                <w:color w:val="000000"/>
                <w:kern w:val="0"/>
                <w:sz w:val="18"/>
                <w:szCs w:val="18"/>
              </w:rPr>
              <w:t>%。</w:t>
            </w:r>
          </w:p>
          <w:p>
            <w:pPr>
              <w:widowControl/>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管理人有权于确认日前</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个工作日调整业绩比较基准，并在嘉善农商银行官网公告。</w:t>
            </w:r>
          </w:p>
          <w:p>
            <w:pPr>
              <w:widowControl/>
              <w:rPr>
                <w:rFonts w:ascii="宋体" w:hAnsi="宋体" w:eastAsia="宋体" w:cs="Times New Roman"/>
                <w:color w:val="000000"/>
                <w:szCs w:val="21"/>
              </w:rPr>
            </w:pPr>
            <w:r>
              <w:rPr>
                <w:rFonts w:hint="eastAsia" w:ascii="宋体" w:hAnsi="宋体" w:eastAsia="宋体" w:cs="宋体"/>
                <w:color w:val="000000"/>
                <w:kern w:val="0"/>
                <w:sz w:val="18"/>
                <w:szCs w:val="18"/>
              </w:rPr>
              <w:t>本产品为净值型理财产品，没有预期收益率。本行提醒投资者关注，业绩比较基准并不代表实际收益率。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本理财产品不保障本金和收益。</w:t>
            </w:r>
          </w:p>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投资者理财收益＝理财产品投资份额×产品期末单位净值</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相关费用</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本产品不收取认购费。</w:t>
            </w:r>
          </w:p>
          <w:p>
            <w:pPr>
              <w:rPr>
                <w:ins w:id="2" w:author="hz206437" w:date="2021-05-06T18:52:00Z"/>
                <w:rFonts w:ascii="宋体" w:hAnsi="宋体" w:eastAsia="宋体" w:cs="宋体"/>
                <w:color w:val="000000"/>
                <w:kern w:val="0"/>
                <w:sz w:val="18"/>
                <w:szCs w:val="18"/>
              </w:rPr>
            </w:pPr>
            <w:r>
              <w:rPr>
                <w:rFonts w:hint="eastAsia" w:ascii="宋体" w:hAnsi="宋体" w:eastAsia="宋体" w:cs="宋体"/>
                <w:color w:val="000000"/>
                <w:kern w:val="0"/>
                <w:sz w:val="18"/>
                <w:szCs w:val="18"/>
              </w:rPr>
              <w:t>本产品托管人按照产品存续规模收取年化</w:t>
            </w:r>
            <w:r>
              <w:rPr>
                <w:rFonts w:ascii="宋体" w:hAnsi="宋体" w:eastAsia="宋体" w:cs="宋体"/>
                <w:color w:val="000000"/>
                <w:kern w:val="0"/>
                <w:sz w:val="18"/>
                <w:szCs w:val="18"/>
              </w:rPr>
              <w:t>0.01%</w:t>
            </w:r>
            <w:r>
              <w:rPr>
                <w:rFonts w:hint="eastAsia" w:ascii="宋体" w:hAnsi="宋体" w:eastAsia="宋体" w:cs="宋体"/>
                <w:color w:val="000000"/>
                <w:kern w:val="0"/>
                <w:sz w:val="18"/>
                <w:szCs w:val="18"/>
              </w:rPr>
              <w:t>的托管费每日计提，于产品到期支付。</w:t>
            </w:r>
          </w:p>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本理财计划不收取外包服务费。</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理财管理人根据理财计划投资情况计算浮动管理费，本理财产品投资周期年化收益率超过业绩比较基准的部分</w:t>
            </w:r>
            <w:r>
              <w:rPr>
                <w:rFonts w:ascii="宋体" w:hAnsi="宋体" w:eastAsia="宋体" w:cs="宋体"/>
                <w:color w:val="000000"/>
                <w:kern w:val="0"/>
                <w:sz w:val="18"/>
                <w:szCs w:val="18"/>
              </w:rPr>
              <w:t>,</w:t>
            </w:r>
            <w:r>
              <w:rPr>
                <w:rFonts w:hint="eastAsia" w:ascii="宋体" w:hAnsi="宋体" w:eastAsia="宋体" w:cs="宋体"/>
                <w:bCs/>
                <w:color w:val="000000"/>
                <w:kern w:val="0"/>
                <w:sz w:val="18"/>
                <w:szCs w:val="18"/>
              </w:rPr>
              <w:t>管理人根据产品说明书第七条的约定提取</w:t>
            </w:r>
            <w:r>
              <w:rPr>
                <w:rFonts w:ascii="宋体" w:hAnsi="宋体" w:eastAsia="宋体" w:cs="宋体"/>
                <w:bCs/>
                <w:color w:val="000000"/>
                <w:kern w:val="0"/>
                <w:sz w:val="18"/>
                <w:szCs w:val="18"/>
              </w:rPr>
              <w:t>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提前终止权</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理财计划存续期内，客户无提前终止权；嘉善农商银行有权宣布终止本理财计划。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融资服务</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本理财产品不能办理质押和转让业务。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税费规定</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理财计划财产在管理、运用、处分过程中产生的税费（包括但不限于增值税及相应的附加税费等），由理财计划财产承担；嘉善农商银行对该等税费无垫付义务。前述税费（包括但不限于增值税及相应附加税费）的计算、提取及缴纳，由嘉善农商银行按照应税行为发生时有效的相关法律法规的规定执行。</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其他规定</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认购期内，客户认购资金按当时实行的活期利率计息，募集期内的利息所得不计入认购金额。</w:t>
            </w:r>
          </w:p>
          <w:p>
            <w:pPr>
              <w:autoSpaceDE w:val="0"/>
              <w:autoSpaceDN w:val="0"/>
              <w:adjustRightInd w:val="0"/>
              <w:rPr>
                <w:rFonts w:ascii="宋体" w:hAnsi="宋体" w:eastAsia="宋体" w:cs="Times New Roman"/>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rPr>
                <w:ins w:id="3" w:author="包扬" w:date="2020-04-08T20:28:00Z"/>
                <w:rFonts w:ascii="宋体" w:hAnsi="宋体" w:eastAsia="宋体" w:cs="宋体"/>
                <w:color w:val="000000"/>
                <w:kern w:val="0"/>
                <w:sz w:val="18"/>
                <w:szCs w:val="18"/>
              </w:rPr>
            </w:pPr>
            <w:r>
              <w:rPr>
                <w:rFonts w:hint="eastAsia" w:ascii="宋体" w:hAnsi="宋体" w:eastAsia="宋体" w:cs="宋体"/>
                <w:color w:val="000000"/>
                <w:kern w:val="0"/>
                <w:sz w:val="18"/>
                <w:szCs w:val="18"/>
              </w:rPr>
              <w:t>3.嘉善农商银行有权根据市场情况和本产品运作情况，对本理财计划的收费项目、条件、标准和方式进行调整。</w:t>
            </w:r>
          </w:p>
          <w:p>
            <w:pPr>
              <w:autoSpaceDE w:val="0"/>
              <w:autoSpaceDN w:val="0"/>
              <w:adjustRightInd w:val="0"/>
              <w:rPr>
                <w:rFonts w:ascii="宋体" w:hAnsi="宋体" w:eastAsia="宋体" w:cs="Times New Roman"/>
                <w:color w:val="000000"/>
                <w:kern w:val="0"/>
                <w:szCs w:val="21"/>
              </w:rPr>
            </w:pPr>
            <w:r>
              <w:rPr>
                <w:rFonts w:hint="eastAsia" w:ascii="宋体" w:hAnsi="宋体" w:eastAsia="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auto"/>
        <w:rPr>
          <w:rFonts w:ascii="宋体" w:hAnsi="宋体" w:eastAsia="宋体" w:cs="Times New Roman"/>
          <w:b/>
          <w:bCs/>
          <w:szCs w:val="21"/>
        </w:rPr>
      </w:pPr>
      <w:r>
        <w:rPr>
          <w:rFonts w:hint="eastAsia" w:ascii="宋体" w:hAnsi="宋体" w:eastAsia="宋体" w:cs="宋体"/>
          <w:b/>
          <w:bCs/>
          <w:szCs w:val="21"/>
        </w:rPr>
        <w:t>特别说明：本理财产品属于净值型理财产品，无预期收益率，投资须谨慎。嘉善农商银行对理财本金及收益不提供保证承诺，请客户基于自身的独立判断进行投资决策。</w:t>
      </w:r>
    </w:p>
    <w:p>
      <w:pPr>
        <w:numPr>
          <w:ilvl w:val="0"/>
          <w:numId w:val="1"/>
        </w:numPr>
        <w:spacing w:line="360" w:lineRule="auto"/>
        <w:rPr>
          <w:rFonts w:ascii="宋体" w:hAnsi="宋体" w:eastAsia="宋体" w:cs="Times New Roman"/>
          <w:b/>
          <w:bCs/>
          <w:kern w:val="28"/>
          <w:sz w:val="28"/>
          <w:szCs w:val="28"/>
        </w:rPr>
      </w:pPr>
      <w:r>
        <w:rPr>
          <w:rFonts w:hint="eastAsia" w:ascii="宋体" w:hAnsi="宋体" w:eastAsia="宋体" w:cs="宋体"/>
          <w:b/>
          <w:bCs/>
          <w:kern w:val="28"/>
          <w:sz w:val="28"/>
          <w:szCs w:val="28"/>
        </w:rPr>
        <w:t>理财产品估值</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（一）估值日 </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本产品估值日和对账日为每一个工作日，每个工作日核对上一日净值，如遇节假日则顺延至节后第一个工作日，于下一工作日披露最新一个工作日净值公告。</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（二）估值对象</w:t>
      </w:r>
    </w:p>
    <w:p>
      <w:p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 xml:space="preserve">    本理财产品所拥有的所有金融资产及金融负债。</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（三）估值目的 </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客观、准确反映理财产品的价值。 </w:t>
      </w:r>
    </w:p>
    <w:p>
      <w:pPr>
        <w:numPr>
          <w:ilvl w:val="0"/>
          <w:numId w:val="2"/>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估值方式</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根据监管规定，可以使用摊余成本法估值的债券类资产使用摊余成本法估值；根据监管规定，应使用市值法估值的债券类资产，按照市值法估值；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存放同业、回购、拆借等同业资产按照账面成本加上最近一次付息日至估值日止的应计利息估值；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银行存款以本金列示，逐日计提利息；</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货币基金以按基金管理公司公布的估值日前一交易日的每万份收益计提红利</w:t>
      </w:r>
    </w:p>
    <w:p>
      <w:pPr>
        <w:numPr>
          <w:ilvl w:val="0"/>
          <w:numId w:val="3"/>
        </w:numPr>
        <w:spacing w:line="360" w:lineRule="auto"/>
        <w:rPr>
          <w:rFonts w:ascii="宋体" w:hAnsi="宋体" w:eastAsia="宋体" w:cs="Times New Roman"/>
          <w:color w:val="000000"/>
          <w:kern w:val="0"/>
          <w:szCs w:val="21"/>
        </w:rPr>
      </w:pPr>
      <w:r>
        <w:rPr>
          <w:rFonts w:ascii="宋体" w:hAnsi="宋体" w:eastAsia="宋体" w:cs="Times New Roman"/>
          <w:color w:val="000000"/>
          <w:kern w:val="0"/>
          <w:szCs w:val="21"/>
        </w:rPr>
        <w:t>资产管理产品</w:t>
      </w:r>
      <w:r>
        <w:rPr>
          <w:rFonts w:hint="eastAsia" w:ascii="宋体" w:hAnsi="宋体" w:eastAsia="宋体" w:cs="Times New Roman"/>
          <w:color w:val="000000"/>
          <w:kern w:val="0"/>
          <w:szCs w:val="21"/>
        </w:rPr>
        <w:t>或其它特殊目的载体</w:t>
      </w:r>
      <w:r>
        <w:rPr>
          <w:rFonts w:ascii="宋体" w:hAnsi="宋体" w:eastAsia="宋体" w:cs="Times New Roman"/>
          <w:color w:val="000000"/>
          <w:kern w:val="0"/>
          <w:szCs w:val="21"/>
        </w:rPr>
        <w:t>等披露</w:t>
      </w:r>
      <w:r>
        <w:rPr>
          <w:rFonts w:hint="eastAsia" w:ascii="宋体" w:hAnsi="宋体" w:eastAsia="宋体" w:cs="Times New Roman"/>
          <w:color w:val="000000"/>
          <w:kern w:val="0"/>
          <w:szCs w:val="21"/>
        </w:rPr>
        <w:t>份额</w:t>
      </w:r>
      <w:r>
        <w:rPr>
          <w:rFonts w:ascii="宋体" w:hAnsi="宋体" w:eastAsia="宋体" w:cs="Times New Roman"/>
          <w:color w:val="000000"/>
          <w:kern w:val="0"/>
          <w:szCs w:val="21"/>
        </w:rPr>
        <w:t>净值的，按最近一日的份额净值</w:t>
      </w:r>
      <w:r>
        <w:rPr>
          <w:rFonts w:hint="eastAsia" w:ascii="宋体" w:hAnsi="宋体" w:eastAsia="宋体" w:cs="Times New Roman"/>
          <w:color w:val="000000"/>
          <w:kern w:val="0"/>
          <w:szCs w:val="21"/>
        </w:rPr>
        <w:t>估值</w:t>
      </w:r>
      <w:r>
        <w:rPr>
          <w:rFonts w:ascii="宋体" w:hAnsi="宋体" w:eastAsia="宋体" w:cs="Times New Roman"/>
          <w:color w:val="000000"/>
          <w:kern w:val="0"/>
          <w:szCs w:val="21"/>
        </w:rPr>
        <w:t>。</w:t>
      </w:r>
      <w:r>
        <w:rPr>
          <w:rFonts w:hint="eastAsia" w:ascii="宋体" w:hAnsi="宋体" w:eastAsia="宋体" w:cs="Times New Roman"/>
          <w:color w:val="000000"/>
          <w:kern w:val="0"/>
          <w:szCs w:val="21"/>
        </w:rPr>
        <w:t>资产管理产品或其它特殊目的载体</w:t>
      </w:r>
      <w:r>
        <w:rPr>
          <w:rFonts w:ascii="宋体" w:hAnsi="宋体" w:eastAsia="宋体" w:cs="Times New Roman"/>
          <w:color w:val="000000"/>
          <w:kern w:val="0"/>
          <w:szCs w:val="21"/>
        </w:rPr>
        <w:t>等披露</w:t>
      </w:r>
      <w:r>
        <w:rPr>
          <w:rFonts w:hint="eastAsia" w:ascii="宋体" w:hAnsi="宋体" w:eastAsia="宋体" w:cs="Times New Roman"/>
          <w:color w:val="000000"/>
          <w:kern w:val="0"/>
          <w:szCs w:val="21"/>
        </w:rPr>
        <w:t>收益率的</w:t>
      </w:r>
      <w:r>
        <w:rPr>
          <w:rFonts w:ascii="宋体" w:hAnsi="宋体" w:eastAsia="宋体" w:cs="Times New Roman"/>
          <w:color w:val="000000"/>
          <w:kern w:val="0"/>
          <w:szCs w:val="21"/>
        </w:rPr>
        <w:t>，按成本估值，按收益率计提收益。</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其他资产的估值方法:在监管许可的范围内，可以使用成本法估值的资产，按取得时的成本用成本法进行估值；根据监管规定，应使用市值法估值的资产，按照市值法估值；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国家有最新规定的按其规定进行估值。</w:t>
      </w:r>
    </w:p>
    <w:p>
      <w:pPr>
        <w:spacing w:line="360" w:lineRule="auto"/>
        <w:ind w:firstLine="420" w:firstLineChars="200"/>
        <w:rPr>
          <w:rFonts w:ascii="宋体" w:hAnsi="宋体" w:eastAsia="宋体" w:cs="Times New Roman"/>
          <w:sz w:val="18"/>
          <w:szCs w:val="18"/>
        </w:rPr>
      </w:pPr>
      <w:r>
        <w:rPr>
          <w:rFonts w:hint="eastAsia" w:ascii="宋体" w:hAnsi="宋体" w:eastAsia="宋体" w:cs="宋体"/>
          <w:color w:val="000000"/>
          <w:kern w:val="0"/>
          <w:szCs w:val="21"/>
        </w:rPr>
        <w:t>当理财产品管理人或托管人认为按上述方法对理财产品进行估值不能客观反映其公允价值的，可以在协商一致后变更估值方法，并自协商一致日后执行。</w:t>
      </w:r>
    </w:p>
    <w:p>
      <w:pPr>
        <w:spacing w:line="360" w:lineRule="auto"/>
        <w:ind w:left="420"/>
        <w:rPr>
          <w:rFonts w:ascii="宋体" w:hAnsi="宋体" w:eastAsia="宋体" w:cs="Times New Roman"/>
          <w:color w:val="000000"/>
          <w:kern w:val="0"/>
          <w:szCs w:val="21"/>
        </w:rPr>
      </w:pPr>
      <w:r>
        <w:rPr>
          <w:rFonts w:hint="eastAsia" w:ascii="宋体" w:hAnsi="宋体" w:eastAsia="宋体" w:cs="宋体"/>
          <w:color w:val="000000"/>
          <w:kern w:val="0"/>
          <w:szCs w:val="21"/>
        </w:rPr>
        <w:t>（五）偏离度管理</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numPr>
          <w:ilvl w:val="0"/>
          <w:numId w:val="1"/>
        </w:numPr>
        <w:spacing w:line="360" w:lineRule="auto"/>
        <w:rPr>
          <w:rFonts w:ascii="宋体" w:hAnsi="宋体" w:eastAsia="宋体" w:cs="Times New Roman"/>
          <w:b/>
          <w:bCs/>
          <w:kern w:val="28"/>
          <w:sz w:val="28"/>
          <w:szCs w:val="28"/>
        </w:rPr>
      </w:pPr>
      <w:r>
        <w:rPr>
          <w:rFonts w:hint="eastAsia" w:ascii="宋体" w:hAnsi="宋体" w:eastAsia="宋体" w:cs="宋体"/>
          <w:b/>
          <w:bCs/>
          <w:kern w:val="28"/>
          <w:sz w:val="28"/>
          <w:szCs w:val="28"/>
        </w:rPr>
        <w:t>理财计划收益和相关费用</w:t>
      </w:r>
    </w:p>
    <w:p>
      <w:pPr>
        <w:numPr>
          <w:ilvl w:val="0"/>
          <w:numId w:val="4"/>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业绩比较基准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本产品业绩比较基准为</w:t>
      </w:r>
      <w:r>
        <w:rPr>
          <w:rFonts w:hint="eastAsia" w:ascii="宋体" w:hAnsi="宋体" w:eastAsia="宋体" w:cs="宋体"/>
          <w:kern w:val="0"/>
          <w:szCs w:val="21"/>
          <w:lang w:eastAsia="zh-CN"/>
        </w:rPr>
        <w:t>1.60</w:t>
      </w:r>
      <w:r>
        <w:rPr>
          <w:rFonts w:hint="eastAsia" w:ascii="宋体" w:hAnsi="宋体" w:eastAsia="宋体" w:cs="宋体"/>
          <w:kern w:val="0"/>
          <w:szCs w:val="21"/>
        </w:rPr>
        <w:t>%（年化收益率）。本产品业绩比较基准不构成嘉善农商银行对该理财产品的任何收益承诺。嘉善农商银行将根据市场利率变动及资金运作情况不定期调整产品业绩比较基准，并至少提前1个工作日进行产品说明书的公告。</w:t>
      </w:r>
    </w:p>
    <w:p>
      <w:pPr>
        <w:numPr>
          <w:ilvl w:val="0"/>
          <w:numId w:val="5"/>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理财产品单位份额净值和收益的计算</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理财产品单位份额净值=理财产品净值/理财产品份额</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理财产品单位份额净值为提取相关费用后的净值，客户按该单位份额净值进行到期、提前终止时的分配。</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客户到期日（或提前到期日）本金和收益=客户到期日（或提前到期日）持有产品份额×到期日（或提前到期日）产品单位份额净值（提取浮动管理费（如有）后单位净值）</w:t>
      </w:r>
    </w:p>
    <w:p>
      <w:pPr>
        <w:numPr>
          <w:ilvl w:val="0"/>
          <w:numId w:val="5"/>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本理财计划的各相关费用</w:t>
      </w:r>
    </w:p>
    <w:p>
      <w:pPr>
        <w:numPr>
          <w:ilvl w:val="0"/>
          <w:numId w:val="6"/>
        </w:numPr>
        <w:spacing w:line="360" w:lineRule="auto"/>
        <w:ind w:firstLine="420"/>
        <w:rPr>
          <w:rFonts w:ascii="宋体" w:hAnsi="宋体" w:eastAsia="宋体" w:cs="宋体"/>
          <w:kern w:val="0"/>
          <w:szCs w:val="21"/>
        </w:rPr>
      </w:pPr>
      <w:r>
        <w:rPr>
          <w:rFonts w:hint="eastAsia" w:ascii="宋体" w:hAnsi="宋体" w:eastAsia="宋体" w:cs="宋体"/>
          <w:kern w:val="0"/>
          <w:szCs w:val="21"/>
        </w:rPr>
        <w:t>理财托管人的托管费</w:t>
      </w:r>
    </w:p>
    <w:p>
      <w:pPr>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rPr>
        <w:t>本理财计划按照年化</w:t>
      </w:r>
      <w:r>
        <w:rPr>
          <w:rFonts w:ascii="宋体" w:hAnsi="宋体" w:eastAsia="宋体" w:cs="宋体"/>
          <w:kern w:val="0"/>
          <w:szCs w:val="21"/>
        </w:rPr>
        <w:t>0.01%</w:t>
      </w:r>
      <w:r>
        <w:rPr>
          <w:rFonts w:hint="eastAsia" w:ascii="宋体" w:hAnsi="宋体" w:eastAsia="宋体" w:cs="宋体"/>
          <w:kern w:val="0"/>
          <w:szCs w:val="21"/>
        </w:rPr>
        <w:t>的固定费率收取托管费。本产品每日计提的托管费计算方式为：该前一日资产净值×0.01</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365</w:t>
      </w:r>
      <w:r>
        <w:rPr>
          <w:rFonts w:hint="eastAsia" w:ascii="宋体" w:hAnsi="宋体" w:eastAsia="宋体" w:cs="宋体"/>
          <w:kern w:val="0"/>
          <w:szCs w:val="21"/>
        </w:rPr>
        <w:t>。</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托管费按日计提，于产品结束时收取。</w:t>
      </w:r>
    </w:p>
    <w:p>
      <w:pPr>
        <w:numPr>
          <w:ilvl w:val="0"/>
          <w:numId w:val="6"/>
        </w:numPr>
        <w:tabs>
          <w:tab w:val="clear" w:pos="312"/>
        </w:tabs>
        <w:spacing w:line="360" w:lineRule="auto"/>
        <w:ind w:firstLine="420"/>
        <w:rPr>
          <w:rFonts w:ascii="宋体" w:hAnsi="宋体" w:eastAsia="宋体" w:cs="宋体"/>
          <w:kern w:val="0"/>
          <w:szCs w:val="21"/>
        </w:rPr>
      </w:pPr>
      <w:r>
        <w:rPr>
          <w:rFonts w:hint="eastAsia" w:ascii="宋体" w:hAnsi="宋体" w:eastAsia="宋体" w:cs="宋体"/>
          <w:kern w:val="0"/>
          <w:szCs w:val="21"/>
        </w:rPr>
        <w:t>外包服务费。</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本理财计划不收取外包服务费。</w:t>
      </w:r>
    </w:p>
    <w:p>
      <w:pPr>
        <w:widowControl/>
        <w:numPr>
          <w:ilvl w:val="0"/>
          <w:numId w:val="6"/>
        </w:numPr>
        <w:spacing w:line="360" w:lineRule="auto"/>
        <w:ind w:firstLine="420"/>
        <w:contextualSpacing/>
        <w:rPr>
          <w:rFonts w:ascii="宋体" w:hAnsi="宋体" w:eastAsia="宋体" w:cs="宋体"/>
          <w:kern w:val="0"/>
          <w:szCs w:val="21"/>
        </w:rPr>
      </w:pPr>
      <w:r>
        <w:rPr>
          <w:rFonts w:hint="eastAsia" w:ascii="宋体" w:hAnsi="宋体" w:eastAsia="宋体" w:cs="宋体"/>
          <w:kern w:val="0"/>
          <w:szCs w:val="21"/>
        </w:rPr>
        <w:t>浮动管理费</w:t>
      </w:r>
    </w:p>
    <w:p>
      <w:pPr>
        <w:spacing w:line="360" w:lineRule="auto"/>
        <w:ind w:firstLine="420" w:firstLineChars="200"/>
        <w:rPr>
          <w:rFonts w:ascii="宋体" w:hAnsi="宋体" w:eastAsia="宋体" w:cs="Calibri"/>
          <w:szCs w:val="21"/>
        </w:rPr>
      </w:pPr>
      <w:r>
        <w:rPr>
          <w:rFonts w:hint="eastAsia" w:ascii="宋体" w:hAnsi="宋体" w:eastAsia="宋体" w:cs="Calibri"/>
          <w:szCs w:val="21"/>
        </w:rPr>
        <w:t>投资管理费：本理财产品到期年化收益率超过业绩比较基准上限时，嘉善农商银行有权就全部超额部分收取浮动管理费。浮动管理费于产品到期日计算收取。若理财产品到期年化收益率等于或小于业绩比较基准收益，嘉善农商银行不收取浮动管理费。</w:t>
      </w:r>
    </w:p>
    <w:p>
      <w:pPr>
        <w:numPr>
          <w:ilvl w:val="0"/>
          <w:numId w:val="5"/>
        </w:numPr>
        <w:spacing w:line="360" w:lineRule="auto"/>
        <w:ind w:firstLine="420" w:firstLineChars="200"/>
        <w:rPr>
          <w:rFonts w:ascii="宋体" w:hAnsi="宋体" w:eastAsia="宋体" w:cs="宋体"/>
          <w:szCs w:val="21"/>
        </w:rPr>
      </w:pPr>
      <w:r>
        <w:rPr>
          <w:rFonts w:hint="eastAsia" w:ascii="宋体" w:hAnsi="宋体" w:eastAsia="宋体" w:cs="宋体"/>
          <w:szCs w:val="21"/>
        </w:rPr>
        <w:t>最不利情况分析</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宋体"/>
          <w:b/>
          <w:bCs/>
          <w:kern w:val="28"/>
          <w:sz w:val="28"/>
          <w:szCs w:val="28"/>
        </w:rPr>
        <w:t>产品终止</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终止权的行使：本理财产品发生全部终止时，嘉善农商银行可以通过公告通知客户全部兑付本理财产品，并按约定将可兑付款项支付给客户。</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资金清算：终止日（实际到期日）后</w:t>
      </w:r>
      <w:r>
        <w:rPr>
          <w:rFonts w:ascii="宋体" w:hAnsi="宋体" w:eastAsia="宋体" w:cs="宋体"/>
          <w:color w:val="000000"/>
          <w:kern w:val="0"/>
          <w:szCs w:val="21"/>
        </w:rPr>
        <w:t>2</w:t>
      </w:r>
      <w:r>
        <w:rPr>
          <w:rFonts w:hint="eastAsia" w:ascii="宋体" w:hAnsi="宋体" w:eastAsia="宋体" w:cs="宋体"/>
          <w:color w:val="000000"/>
          <w:kern w:val="0"/>
          <w:szCs w:val="21"/>
        </w:rPr>
        <w:t>个工作日为资金清算期，该期间不计付利息。</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终止事项</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发生以下事项时，嘉善农商银行可对本理财产品行使全部终止权：</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（1）如因本理财产品资产运作模式等与相关政策、法律法规、规章的规定或者监管机构的要求等存在冲突导致理财产品必须提前终止的；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（2）国家有关法律、法规、规章、政策的改变、紧急措施的出台、理财市场环境发生重大变化等导致理财产品必须提前终止的；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（3）因地震、火灾、战争、罢工等不可抗力因素导致本理财产品必须提前终止的；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（4）嘉善农商银行认为应该提前终止本理财产品的其他情况。</w:t>
      </w:r>
    </w:p>
    <w:p>
      <w:pPr>
        <w:numPr>
          <w:ilvl w:val="0"/>
          <w:numId w:val="7"/>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终止的信息公告</w:t>
      </w:r>
    </w:p>
    <w:p>
      <w:pPr>
        <w:spacing w:line="360" w:lineRule="auto"/>
        <w:ind w:left="846"/>
        <w:rPr>
          <w:rFonts w:ascii="宋体" w:hAnsi="宋体" w:eastAsia="宋体" w:cs="宋体"/>
          <w:color w:val="000000"/>
          <w:kern w:val="0"/>
          <w:szCs w:val="21"/>
        </w:rPr>
      </w:pPr>
      <w:r>
        <w:rPr>
          <w:rFonts w:hint="eastAsia" w:ascii="宋体" w:hAnsi="宋体" w:eastAsia="宋体" w:cs="宋体"/>
          <w:color w:val="000000"/>
          <w:kern w:val="0"/>
          <w:szCs w:val="21"/>
        </w:rPr>
        <w:t>如遇本理财产品终止事项，嘉善农商银行将提前1个工作日通过嘉善农商银行网站及时公告相关信息，敬请予以关注。</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Times New Roman"/>
          <w:b/>
          <w:bCs/>
          <w:kern w:val="28"/>
          <w:sz w:val="28"/>
          <w:szCs w:val="28"/>
        </w:rPr>
        <w:t>税费规定</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理财计划财产在管理、运用、处分过程中产生的税费（包括但不限于增值税及相应的附加税费等），由理财计划财产承担；嘉善农商银行对该等税费无垫付义务。前述税费（包括但不限于增值税及相应附加税费）的计算、提取及缴纳，由嘉善农商银行按照应税行为发生时有效的相关法律法规的规定执行。支付给客户的理财收益的应纳税款由客户自行申报及缴纳。</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宋体"/>
          <w:b/>
          <w:bCs/>
          <w:kern w:val="28"/>
          <w:sz w:val="28"/>
          <w:szCs w:val="28"/>
        </w:rPr>
        <w:t>信息披露</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本理财计划信息披露通过嘉善农商银行网站公告或其他形式进行披露。</w:t>
      </w:r>
    </w:p>
    <w:p>
      <w:pPr>
        <w:numPr>
          <w:ilvl w:val="0"/>
          <w:numId w:val="8"/>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理财计划成立后，嘉善农商银行会在每周第一个工作日披露本理财上周最后一个工作日的产品净值。</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在每季度结束之日起15日内编制完成理财计划运行报告，向客户披露当期存续规模、收益表现，并分别列示直接和间接投资的资产种类、投资比例、投资组合的流动性风险分析等资产情况，并将运行报告正文通过嘉善农商银行网站披露。理财产品成立不足90日或者存续期不超过90日的，不编制理财产品当期的季度报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嘉善农商银行会在理财计划发生投资资产存在风险、理财计划要素发生较大改变、监管政策发生变化等通过管理人判断会影响本理财计划的收益或运作情况时，及时发布不定期或临时公告。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嘉善农商银行如在特定情况下终止本产品，将于实际终止日前至少1个工作日，在嘉善农商银行网站发布相关信息公告。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嘉善农商银行将在理财期内在嘉善农商银行网站对本产品说明书予以公示，若客户持有的销售文件与网站公示的产品说明书不一致，应以网站公示为准。</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本理财产品说明书在法律许可的范围内由银行负责解释。若客户对本理财说明书的内容有任何疑问或异议，请致电客户服务热线96596咨询、投诉。客户在投资前，请仔细阅读本产品说明书，并作出独立的投资决策。</w:t>
      </w:r>
    </w:p>
    <w:p>
      <w:pPr>
        <w:spacing w:line="360" w:lineRule="auto"/>
        <w:ind w:firstLine="424" w:firstLineChars="202"/>
        <w:rPr>
          <w:rFonts w:ascii="宋体" w:hAnsi="宋体" w:eastAsia="宋体" w:cs="Times New Roman"/>
          <w:color w:val="000000"/>
          <w:kern w:val="0"/>
          <w:szCs w:val="21"/>
        </w:rPr>
      </w:pPr>
      <w:r>
        <w:rPr>
          <w:rFonts w:hint="eastAsia" w:ascii="宋体" w:hAnsi="宋体" w:eastAsia="宋体" w:cs="宋体"/>
          <w:szCs w:val="21"/>
        </w:rPr>
        <w:t>嘉善农商</w:t>
      </w:r>
      <w:r>
        <w:rPr>
          <w:rFonts w:hint="eastAsia" w:ascii="宋体" w:hAnsi="宋体" w:eastAsia="宋体" w:cs="宋体"/>
          <w:color w:val="000000"/>
          <w:kern w:val="0"/>
          <w:szCs w:val="21"/>
        </w:rPr>
        <w:t>银行将恪守勤勉尽责的原则，合理配置财产组合，为客户提供专业化的理财服务。客户应密切关注嘉善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本理财产品说明书在法律许可的范围内由银行负责解释。若客户对本理财说明书的内容有任何疑问或异议，请致电客户服务热线0573-84226126咨询、投诉。</w:t>
      </w:r>
    </w:p>
    <w:p>
      <w:pPr>
        <w:sectPr>
          <w:type w:val="continuous"/>
          <w:pgSz w:w="11906" w:h="16838"/>
          <w:pgMar w:top="1440" w:right="1800" w:bottom="1440" w:left="1800"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74A4"/>
    <w:multiLevelType w:val="singleLevel"/>
    <w:tmpl w:val="D2FD74A4"/>
    <w:lvl w:ilvl="0" w:tentative="0">
      <w:start w:val="2"/>
      <w:numFmt w:val="chineseCounting"/>
      <w:suff w:val="space"/>
      <w:lvlText w:val="（%1）"/>
      <w:lvlJc w:val="left"/>
      <w:rPr>
        <w:rFonts w:hint="eastAsia"/>
      </w:rPr>
    </w:lvl>
  </w:abstractNum>
  <w:abstractNum w:abstractNumId="1">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1A99178C"/>
    <w:multiLevelType w:val="singleLevel"/>
    <w:tmpl w:val="1A99178C"/>
    <w:lvl w:ilvl="0" w:tentative="0">
      <w:start w:val="1"/>
      <w:numFmt w:val="chineseCounting"/>
      <w:suff w:val="nothing"/>
      <w:lvlText w:val="(%1）"/>
      <w:lvlJc w:val="left"/>
      <w:rPr>
        <w:rFonts w:hint="eastAsia"/>
      </w:rPr>
    </w:lvl>
  </w:abstractNum>
  <w:abstractNum w:abstractNumId="3">
    <w:nsid w:val="2CA85E8A"/>
    <w:multiLevelType w:val="multilevel"/>
    <w:tmpl w:val="2CA85E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D43CD4"/>
    <w:multiLevelType w:val="singleLevel"/>
    <w:tmpl w:val="3BD43CD4"/>
    <w:lvl w:ilvl="0" w:tentative="0">
      <w:start w:val="1"/>
      <w:numFmt w:val="decimal"/>
      <w:lvlText w:val="%1."/>
      <w:lvlJc w:val="left"/>
      <w:pPr>
        <w:tabs>
          <w:tab w:val="left" w:pos="420"/>
        </w:tabs>
        <w:ind w:left="845" w:hanging="425"/>
      </w:pPr>
      <w:rPr>
        <w:rFonts w:hint="default"/>
      </w:rPr>
    </w:lvl>
  </w:abstractNum>
  <w:abstractNum w:abstractNumId="5">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423A25"/>
    <w:multiLevelType w:val="singleLevel"/>
    <w:tmpl w:val="6C423A25"/>
    <w:lvl w:ilvl="0" w:tentative="0">
      <w:start w:val="1"/>
      <w:numFmt w:val="decimal"/>
      <w:lvlText w:val="%1."/>
      <w:lvlJc w:val="left"/>
      <w:pPr>
        <w:tabs>
          <w:tab w:val="left" w:pos="312"/>
        </w:tabs>
      </w:pPr>
    </w:lvl>
  </w:abstractNum>
  <w:abstractNum w:abstractNumId="7">
    <w:nsid w:val="797973BF"/>
    <w:multiLevelType w:val="multilevel"/>
    <w:tmpl w:val="797973BF"/>
    <w:lvl w:ilvl="0" w:tentative="0">
      <w:start w:val="4"/>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z206437">
    <w15:presenceInfo w15:providerId="None" w15:userId="hz206437"/>
  </w15:person>
  <w15:person w15:author="包扬">
    <w15:presenceInfo w15:providerId="None" w15:userId="包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OWI5ZDhiNDc3ZTViZDZiMjk3YTYyNWYyNmY1ZTkifQ=="/>
  </w:docVars>
  <w:rsids>
    <w:rsidRoot w:val="00DF69D2"/>
    <w:rsid w:val="005D02E0"/>
    <w:rsid w:val="00DF69D2"/>
    <w:rsid w:val="7821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样式1"/>
    <w:basedOn w:val="1"/>
    <w:link w:val="5"/>
    <w:qFormat/>
    <w:uiPriority w:val="0"/>
    <w:pPr>
      <w:spacing w:line="520" w:lineRule="exact"/>
      <w:ind w:left="210" w:leftChars="100"/>
      <w:jc w:val="center"/>
    </w:pPr>
    <w:rPr>
      <w:rFonts w:ascii="宋体" w:hAnsi="宋体" w:eastAsia="宋体" w:cs="宋体"/>
      <w:b/>
      <w:bCs/>
      <w:sz w:val="32"/>
      <w:szCs w:val="32"/>
    </w:rPr>
  </w:style>
  <w:style w:type="character" w:customStyle="1" w:styleId="5">
    <w:name w:val="样式1 字符"/>
    <w:basedOn w:val="3"/>
    <w:link w:val="4"/>
    <w:uiPriority w:val="0"/>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5712</Words>
  <Characters>5881</Characters>
  <Lines>43</Lines>
  <Paragraphs>12</Paragraphs>
  <TotalTime>3</TotalTime>
  <ScaleCrop>false</ScaleCrop>
  <LinksUpToDate>false</LinksUpToDate>
  <CharactersWithSpaces>5908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2024-06-14T02:32:00Z</dcterms:created>
  <dc:creator>jsnsyh</dc:creator>
  <cp:lastModifiedBy>燕子</cp:lastModifiedBy>
  <dcterms:modified xsi:type="dcterms:W3CDTF">2024-07-12T02:28:41Z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605919CC69894894A546ED43AA36DBC4_12</vt:lpwstr>
  </property>
</Properties>
</file>